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color w:val="auto"/>
          <w:sz w:val="40"/>
          <w:szCs w:val="40"/>
          <w:highlight w:val="none"/>
        </w:rPr>
      </w:pPr>
    </w:p>
    <w:p>
      <w:pPr>
        <w:jc w:val="center"/>
        <w:rPr>
          <w:rFonts w:hint="eastAsia" w:asciiTheme="minorEastAsia" w:hAnsiTheme="minorEastAsia" w:eastAsiaTheme="minorEastAsia" w:cstheme="minorEastAsia"/>
          <w:b/>
          <w:color w:val="auto"/>
          <w:sz w:val="44"/>
          <w:szCs w:val="44"/>
          <w:highlight w:val="none"/>
        </w:rPr>
      </w:pPr>
    </w:p>
    <w:p>
      <w:pPr>
        <w:jc w:val="center"/>
        <w:rPr>
          <w:rFonts w:hint="eastAsia" w:asciiTheme="minorEastAsia" w:hAnsiTheme="minorEastAsia" w:eastAsiaTheme="minorEastAsia" w:cstheme="minorEastAsia"/>
          <w:b/>
          <w:color w:val="auto"/>
          <w:sz w:val="44"/>
          <w:szCs w:val="44"/>
          <w:highlight w:val="none"/>
        </w:rPr>
      </w:pPr>
    </w:p>
    <w:p>
      <w:pPr>
        <w:jc w:val="center"/>
        <w:rPr>
          <w:rFonts w:hint="eastAsia" w:asciiTheme="minorEastAsia" w:hAnsiTheme="minorEastAsia" w:eastAsiaTheme="minorEastAsia" w:cstheme="minorEastAsia"/>
          <w:b/>
          <w:color w:val="000000" w:themeColor="text1"/>
          <w:sz w:val="44"/>
          <w:szCs w:val="4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44"/>
          <w:szCs w:val="44"/>
          <w:highlight w:val="none"/>
          <w14:textFill>
            <w14:solidFill>
              <w14:schemeClr w14:val="tx1"/>
            </w14:solidFill>
          </w14:textFill>
        </w:rPr>
        <w:t>长沙市财政评审中心</w:t>
      </w:r>
    </w:p>
    <w:p>
      <w:pPr>
        <w:jc w:val="center"/>
        <w:rPr>
          <w:rFonts w:hint="eastAsia" w:asciiTheme="minorEastAsia" w:hAnsiTheme="minorEastAsia" w:eastAsiaTheme="minorEastAsia" w:cstheme="minorEastAsia"/>
          <w:b/>
          <w:color w:val="000000" w:themeColor="text1"/>
          <w:sz w:val="48"/>
          <w:szCs w:val="48"/>
          <w:highlight w:val="none"/>
          <w14:textFill>
            <w14:solidFill>
              <w14:schemeClr w14:val="tx1"/>
            </w14:solidFill>
          </w14:textFill>
        </w:rPr>
      </w:pPr>
    </w:p>
    <w:p>
      <w:pPr>
        <w:jc w:val="both"/>
        <w:rPr>
          <w:rFonts w:hint="eastAsia" w:asciiTheme="minorEastAsia" w:hAnsiTheme="minorEastAsia" w:eastAsiaTheme="minorEastAsia" w:cstheme="minorEastAsia"/>
          <w:b/>
          <w:color w:val="000000" w:themeColor="text1"/>
          <w:sz w:val="44"/>
          <w:szCs w:val="44"/>
          <w:highlight w:val="none"/>
          <w:lang w:eastAsia="zh-CN"/>
          <w14:textFill>
            <w14:solidFill>
              <w14:schemeClr w14:val="tx1"/>
            </w14:solidFill>
          </w14:textFill>
        </w:rPr>
      </w:pPr>
    </w:p>
    <w:p>
      <w:pPr>
        <w:jc w:val="both"/>
        <w:rPr>
          <w:rFonts w:hint="eastAsia" w:asciiTheme="minorEastAsia" w:hAnsiTheme="minorEastAsia" w:eastAsiaTheme="minorEastAsia" w:cstheme="minorEastAsia"/>
          <w:b/>
          <w:color w:val="000000" w:themeColor="text1"/>
          <w:sz w:val="44"/>
          <w:szCs w:val="44"/>
          <w:highlight w:val="none"/>
          <w:lang w:eastAsia="zh-CN"/>
          <w14:textFill>
            <w14:solidFill>
              <w14:schemeClr w14:val="tx1"/>
            </w14:solidFill>
          </w14:textFill>
        </w:rPr>
      </w:pPr>
    </w:p>
    <w:p>
      <w:pPr>
        <w:jc w:val="both"/>
        <w:rPr>
          <w:rFonts w:hint="eastAsia" w:asciiTheme="minorEastAsia" w:hAnsiTheme="minorEastAsia" w:eastAsiaTheme="minorEastAsia" w:cstheme="minorEastAsia"/>
          <w:b/>
          <w:color w:val="000000" w:themeColor="text1"/>
          <w:sz w:val="44"/>
          <w:szCs w:val="44"/>
          <w:highlight w:val="none"/>
          <w:lang w:eastAsia="zh-CN"/>
          <w14:textFill>
            <w14:solidFill>
              <w14:schemeClr w14:val="tx1"/>
            </w14:solidFill>
          </w14:textFill>
        </w:rPr>
      </w:pPr>
    </w:p>
    <w:p>
      <w:pPr>
        <w:jc w:val="both"/>
        <w:rPr>
          <w:rFonts w:hint="eastAsia" w:asciiTheme="minorEastAsia" w:hAnsiTheme="minorEastAsia" w:eastAsiaTheme="minorEastAsia" w:cstheme="minorEastAsia"/>
          <w:b/>
          <w:color w:val="000000" w:themeColor="text1"/>
          <w:sz w:val="44"/>
          <w:szCs w:val="44"/>
          <w:highlight w:val="none"/>
          <w:lang w:eastAsia="zh-CN"/>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44"/>
          <w:szCs w:val="44"/>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44"/>
          <w:szCs w:val="44"/>
          <w:highlight w:val="none"/>
          <w:lang w:eastAsia="zh-CN"/>
          <w14:textFill>
            <w14:solidFill>
              <w14:schemeClr w14:val="tx1"/>
            </w14:solidFill>
          </w14:textFill>
        </w:rPr>
        <w:t>工程建设其他</w:t>
      </w:r>
      <w:r>
        <w:rPr>
          <w:rFonts w:hint="eastAsia" w:asciiTheme="minorEastAsia" w:hAnsiTheme="minorEastAsia" w:eastAsiaTheme="minorEastAsia" w:cstheme="minorEastAsia"/>
          <w:b/>
          <w:color w:val="000000" w:themeColor="text1"/>
          <w:sz w:val="44"/>
          <w:szCs w:val="44"/>
          <w:highlight w:val="none"/>
          <w14:textFill>
            <w14:solidFill>
              <w14:schemeClr w14:val="tx1"/>
            </w14:solidFill>
          </w14:textFill>
        </w:rPr>
        <w:t>费用</w:t>
      </w:r>
      <w:r>
        <w:rPr>
          <w:rFonts w:hint="eastAsia" w:asciiTheme="minorEastAsia" w:hAnsiTheme="minorEastAsia" w:eastAsiaTheme="minorEastAsia" w:cstheme="minorEastAsia"/>
          <w:b/>
          <w:color w:val="000000" w:themeColor="text1"/>
          <w:sz w:val="44"/>
          <w:szCs w:val="44"/>
          <w:highlight w:val="none"/>
          <w:lang w:eastAsia="zh-CN"/>
          <w14:textFill>
            <w14:solidFill>
              <w14:schemeClr w14:val="tx1"/>
            </w14:solidFill>
          </w14:textFill>
        </w:rPr>
        <w:t>计费</w:t>
      </w:r>
      <w:r>
        <w:rPr>
          <w:rFonts w:hint="eastAsia" w:asciiTheme="minorEastAsia" w:hAnsiTheme="minorEastAsia" w:cstheme="minorEastAsia"/>
          <w:b/>
          <w:color w:val="000000" w:themeColor="text1"/>
          <w:sz w:val="44"/>
          <w:szCs w:val="44"/>
          <w:highlight w:val="none"/>
          <w:lang w:eastAsia="zh-CN"/>
          <w14:textFill>
            <w14:solidFill>
              <w14:schemeClr w14:val="tx1"/>
            </w14:solidFill>
          </w14:textFill>
        </w:rPr>
        <w:t>指南</w:t>
      </w:r>
    </w:p>
    <w:p>
      <w:pPr>
        <w:jc w:val="center"/>
        <w:rPr>
          <w:rFonts w:hint="eastAsia" w:asciiTheme="minorEastAsia" w:hAnsiTheme="minorEastAsia" w:eastAsiaTheme="minorEastAsia" w:cstheme="minorEastAsia"/>
          <w:b/>
          <w:color w:val="000000" w:themeColor="text1"/>
          <w:sz w:val="40"/>
          <w:szCs w:val="40"/>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44"/>
          <w:szCs w:val="44"/>
          <w:highlight w:val="none"/>
          <w:lang w:eastAsia="zh-CN"/>
          <w14:textFill>
            <w14:solidFill>
              <w14:schemeClr w14:val="tx1"/>
            </w14:solidFill>
          </w14:textFill>
        </w:rPr>
        <w:t>（试行）</w:t>
      </w:r>
    </w:p>
    <w:p>
      <w:pPr>
        <w:jc w:val="center"/>
        <w:rPr>
          <w:rFonts w:hint="eastAsia" w:asciiTheme="minorEastAsia" w:hAnsiTheme="minorEastAsia" w:eastAsiaTheme="minorEastAsia" w:cstheme="minorEastAsia"/>
          <w:b/>
          <w:color w:val="000000" w:themeColor="text1"/>
          <w:sz w:val="40"/>
          <w:szCs w:val="40"/>
          <w:highlight w:val="none"/>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40"/>
          <w:szCs w:val="40"/>
          <w:highlight w:val="none"/>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40"/>
          <w:szCs w:val="40"/>
          <w:highlight w:val="none"/>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40"/>
          <w:szCs w:val="40"/>
          <w:highlight w:val="none"/>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40"/>
          <w:szCs w:val="40"/>
          <w:highlight w:val="none"/>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40"/>
          <w:szCs w:val="40"/>
          <w:highlight w:val="none"/>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40"/>
          <w:szCs w:val="40"/>
          <w:highlight w:val="none"/>
          <w14:textFill>
            <w14:solidFill>
              <w14:schemeClr w14:val="tx1"/>
            </w14:solidFill>
          </w14:textFill>
        </w:rPr>
      </w:pPr>
    </w:p>
    <w:p>
      <w:pPr>
        <w:jc w:val="left"/>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40"/>
          <w:szCs w:val="40"/>
          <w:highlight w:val="none"/>
          <w14:textFill>
            <w14:solidFill>
              <w14:schemeClr w14:val="tx1"/>
            </w14:solidFill>
          </w14:textFill>
        </w:rPr>
        <w:sectPr>
          <w:footerReference r:id="rId3"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p>
    <w:sdt>
      <w:sdtPr>
        <w:rPr>
          <w:rFonts w:ascii="宋体" w:hAnsi="宋体" w:eastAsia="宋体" w:cstheme="minorBidi"/>
          <w:b/>
          <w:bCs/>
          <w:color w:val="000000" w:themeColor="text1"/>
          <w:kern w:val="2"/>
          <w:sz w:val="44"/>
          <w:szCs w:val="48"/>
          <w:highlight w:val="none"/>
          <w:lang w:val="en-US" w:eastAsia="zh-CN" w:bidi="ar-SA"/>
          <w14:textFill>
            <w14:solidFill>
              <w14:schemeClr w14:val="tx1"/>
            </w14:solidFill>
          </w14:textFill>
        </w:rPr>
        <w:id w:val="147463209"/>
        <w15:color w:val="DBDBDB"/>
        <w:docPartObj>
          <w:docPartGallery w:val="Table of Contents"/>
          <w:docPartUnique/>
        </w:docPartObj>
      </w:sdtPr>
      <w:sdtEndPr>
        <w:rPr>
          <w:rFonts w:ascii="宋体" w:hAnsi="宋体" w:eastAsia="宋体" w:cstheme="minorBidi"/>
          <w:b/>
          <w:bCs/>
          <w:color w:val="000000" w:themeColor="text1"/>
          <w:kern w:val="2"/>
          <w:sz w:val="36"/>
          <w:szCs w:val="40"/>
          <w:highlight w:val="none"/>
          <w:lang w:val="en-US" w:eastAsia="zh-CN" w:bidi="ar-SA"/>
          <w14:textFill>
            <w14:solidFill>
              <w14:schemeClr w14:val="tx1"/>
            </w14:solidFill>
          </w14:textFill>
        </w:rPr>
      </w:sdtEndPr>
      <w:sdtContent>
        <w:p>
          <w:pPr>
            <w:keepNext w:val="0"/>
            <w:keepLines w:val="0"/>
            <w:pageBreakBefore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rFonts w:ascii="宋体" w:hAnsi="宋体" w:eastAsia="宋体"/>
              <w:b/>
              <w:bCs/>
              <w:color w:val="000000" w:themeColor="text1"/>
              <w:sz w:val="44"/>
              <w:szCs w:val="48"/>
              <w:highlight w:val="none"/>
              <w14:textFill>
                <w14:solidFill>
                  <w14:schemeClr w14:val="tx1"/>
                </w14:solidFill>
              </w14:textFill>
            </w:rPr>
          </w:pPr>
          <w:r>
            <w:rPr>
              <w:rFonts w:ascii="宋体" w:hAnsi="宋体" w:eastAsia="宋体"/>
              <w:b/>
              <w:bCs/>
              <w:color w:val="000000" w:themeColor="text1"/>
              <w:sz w:val="44"/>
              <w:szCs w:val="48"/>
              <w:highlight w:val="none"/>
              <w14:textFill>
                <w14:solidFill>
                  <w14:schemeClr w14:val="tx1"/>
                </w14:solidFill>
              </w14:textFill>
            </w:rPr>
            <w:t>目</w:t>
          </w:r>
          <w:r>
            <w:rPr>
              <w:rFonts w:hint="eastAsia" w:ascii="宋体" w:hAnsi="宋体" w:eastAsia="宋体"/>
              <w:b/>
              <w:bCs/>
              <w:color w:val="000000" w:themeColor="text1"/>
              <w:sz w:val="44"/>
              <w:szCs w:val="48"/>
              <w:highlight w:val="none"/>
              <w:lang w:val="en-US" w:eastAsia="zh-CN"/>
              <w14:textFill>
                <w14:solidFill>
                  <w14:schemeClr w14:val="tx1"/>
                </w14:solidFill>
              </w14:textFill>
            </w:rPr>
            <w:t xml:space="preserve">  </w:t>
          </w:r>
          <w:r>
            <w:rPr>
              <w:rFonts w:ascii="宋体" w:hAnsi="宋体" w:eastAsia="宋体"/>
              <w:b/>
              <w:bCs/>
              <w:color w:val="000000" w:themeColor="text1"/>
              <w:sz w:val="44"/>
              <w:szCs w:val="48"/>
              <w:highlight w:val="none"/>
              <w14:textFill>
                <w14:solidFill>
                  <w14:schemeClr w14:val="tx1"/>
                </w14:solidFill>
              </w14:textFill>
            </w:rPr>
            <w:t>录</w:t>
          </w:r>
        </w:p>
        <w:p>
          <w:pPr>
            <w:keepNext w:val="0"/>
            <w:keepLines w:val="0"/>
            <w:pageBreakBefore w:val="0"/>
            <w:kinsoku/>
            <w:wordWrap/>
            <w:overflowPunct/>
            <w:topLinePunct w:val="0"/>
            <w:autoSpaceDE/>
            <w:autoSpaceDN/>
            <w:bidi w:val="0"/>
            <w:adjustRightInd/>
            <w:snapToGrid/>
            <w:spacing w:before="0" w:beforeLines="0" w:after="0" w:afterLines="0" w:line="480" w:lineRule="auto"/>
            <w:ind w:left="0" w:leftChars="0" w:right="0" w:rightChars="0" w:firstLine="0" w:firstLineChars="0"/>
            <w:jc w:val="center"/>
            <w:textAlignment w:val="auto"/>
            <w:rPr>
              <w:rFonts w:ascii="宋体" w:hAnsi="宋体" w:eastAsia="宋体"/>
              <w:b/>
              <w:bCs/>
              <w:color w:val="000000" w:themeColor="text1"/>
              <w:sz w:val="36"/>
              <w:szCs w:val="40"/>
              <w:highlight w:val="none"/>
              <w14:textFill>
                <w14:solidFill>
                  <w14:schemeClr w14:val="tx1"/>
                </w14:solidFill>
              </w14:textFill>
            </w:rPr>
          </w:pP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color w:val="000000" w:themeColor="text1"/>
              <w:sz w:val="28"/>
              <w:szCs w:val="32"/>
              <w:highlight w:val="none"/>
              <w14:textFill>
                <w14:solidFill>
                  <w14:schemeClr w14:val="tx1"/>
                </w14:solidFill>
              </w14:textFill>
            </w:rPr>
          </w:pPr>
          <w:r>
            <w:rPr>
              <w:color w:val="000000" w:themeColor="text1"/>
              <w:sz w:val="32"/>
              <w:szCs w:val="32"/>
              <w:highlight w:val="none"/>
              <w14:textFill>
                <w14:solidFill>
                  <w14:schemeClr w14:val="tx1"/>
                </w14:solidFill>
              </w14:textFill>
            </w:rPr>
            <w:fldChar w:fldCharType="begin"/>
          </w:r>
          <w:r>
            <w:rPr>
              <w:color w:val="000000" w:themeColor="text1"/>
              <w:sz w:val="32"/>
              <w:szCs w:val="32"/>
              <w:highlight w:val="none"/>
              <w14:textFill>
                <w14:solidFill>
                  <w14:schemeClr w14:val="tx1"/>
                </w14:solidFill>
              </w14:textFill>
            </w:rPr>
            <w:instrText xml:space="preserve">TOC \o "1-1" \h \u </w:instrText>
          </w:r>
          <w:r>
            <w:rPr>
              <w:color w:val="000000" w:themeColor="text1"/>
              <w:sz w:val="32"/>
              <w:szCs w:val="32"/>
              <w:highlight w:val="none"/>
              <w14:textFill>
                <w14:solidFill>
                  <w14:schemeClr w14:val="tx1"/>
                </w14:solidFill>
              </w14:textFill>
            </w:rPr>
            <w:fldChar w:fldCharType="separate"/>
          </w:r>
          <w:r>
            <w:rPr>
              <w:color w:val="000000" w:themeColor="text1"/>
              <w:sz w:val="28"/>
              <w:szCs w:val="32"/>
              <w:highlight w:val="none"/>
              <w14:textFill>
                <w14:solidFill>
                  <w14:schemeClr w14:val="tx1"/>
                </w14:solidFill>
              </w14:textFill>
            </w:rPr>
            <w:fldChar w:fldCharType="begin"/>
          </w:r>
          <w:r>
            <w:rPr>
              <w:color w:val="000000" w:themeColor="text1"/>
              <w:sz w:val="28"/>
              <w:szCs w:val="32"/>
              <w:highlight w:val="none"/>
              <w14:textFill>
                <w14:solidFill>
                  <w14:schemeClr w14:val="tx1"/>
                </w14:solidFill>
              </w14:textFill>
            </w:rPr>
            <w:instrText xml:space="preserve"> HYPERLINK \l _Toc16900 </w:instrText>
          </w:r>
          <w:r>
            <w:rPr>
              <w:color w:val="000000" w:themeColor="text1"/>
              <w:sz w:val="28"/>
              <w:szCs w:val="32"/>
              <w:highlight w:val="none"/>
              <w14:textFill>
                <w14:solidFill>
                  <w14:schemeClr w14:val="tx1"/>
                </w14:solidFill>
              </w14:textFill>
            </w:rPr>
            <w:fldChar w:fldCharType="separate"/>
          </w:r>
          <w:r>
            <w:rPr>
              <w:rFonts w:hint="eastAsia"/>
              <w:color w:val="000000" w:themeColor="text1"/>
              <w:sz w:val="28"/>
              <w:szCs w:val="32"/>
              <w:highlight w:val="none"/>
              <w14:textFill>
                <w14:solidFill>
                  <w14:schemeClr w14:val="tx1"/>
                </w14:solidFill>
              </w14:textFill>
            </w:rPr>
            <w:t>前 言</w:t>
          </w:r>
          <w:r>
            <w:rPr>
              <w:color w:val="000000" w:themeColor="text1"/>
              <w:sz w:val="28"/>
              <w:szCs w:val="32"/>
              <w:highlight w:val="none"/>
              <w14:textFill>
                <w14:solidFill>
                  <w14:schemeClr w14:val="tx1"/>
                </w14:solidFill>
              </w14:textFill>
            </w:rPr>
            <w:tab/>
          </w:r>
          <w:r>
            <w:rPr>
              <w:color w:val="000000" w:themeColor="text1"/>
              <w:sz w:val="28"/>
              <w:szCs w:val="32"/>
              <w:highlight w:val="none"/>
              <w14:textFill>
                <w14:solidFill>
                  <w14:schemeClr w14:val="tx1"/>
                </w14:solidFill>
              </w14:textFill>
            </w:rPr>
            <w:fldChar w:fldCharType="begin"/>
          </w:r>
          <w:r>
            <w:rPr>
              <w:color w:val="000000" w:themeColor="text1"/>
              <w:sz w:val="28"/>
              <w:szCs w:val="32"/>
              <w:highlight w:val="none"/>
              <w14:textFill>
                <w14:solidFill>
                  <w14:schemeClr w14:val="tx1"/>
                </w14:solidFill>
              </w14:textFill>
            </w:rPr>
            <w:instrText xml:space="preserve"> PAGEREF _Toc16900 </w:instrText>
          </w:r>
          <w:r>
            <w:rPr>
              <w:color w:val="000000" w:themeColor="text1"/>
              <w:sz w:val="28"/>
              <w:szCs w:val="32"/>
              <w:highlight w:val="none"/>
              <w14:textFill>
                <w14:solidFill>
                  <w14:schemeClr w14:val="tx1"/>
                </w14:solidFill>
              </w14:textFill>
            </w:rPr>
            <w:fldChar w:fldCharType="separate"/>
          </w:r>
          <w:r>
            <w:rPr>
              <w:color w:val="000000" w:themeColor="text1"/>
              <w:sz w:val="28"/>
              <w:szCs w:val="32"/>
              <w:highlight w:val="none"/>
              <w14:textFill>
                <w14:solidFill>
                  <w14:schemeClr w14:val="tx1"/>
                </w14:solidFill>
              </w14:textFill>
            </w:rPr>
            <w:t>1</w:t>
          </w:r>
          <w:r>
            <w:rPr>
              <w:color w:val="000000" w:themeColor="text1"/>
              <w:sz w:val="28"/>
              <w:szCs w:val="32"/>
              <w:highlight w:val="none"/>
              <w14:textFill>
                <w14:solidFill>
                  <w14:schemeClr w14:val="tx1"/>
                </w14:solidFill>
              </w14:textFill>
            </w:rPr>
            <w:fldChar w:fldCharType="end"/>
          </w:r>
          <w:r>
            <w:rPr>
              <w:color w:val="000000" w:themeColor="text1"/>
              <w:sz w:val="28"/>
              <w:szCs w:val="32"/>
              <w:highlight w:val="none"/>
              <w14:textFill>
                <w14:solidFill>
                  <w14:schemeClr w14:val="tx1"/>
                </w14:solidFill>
              </w14:textFill>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color w:val="000000" w:themeColor="text1"/>
              <w:sz w:val="28"/>
              <w:szCs w:val="32"/>
              <w:highlight w:val="none"/>
              <w14:textFill>
                <w14:solidFill>
                  <w14:schemeClr w14:val="tx1"/>
                </w14:solidFill>
              </w14:textFill>
            </w:rPr>
          </w:pPr>
          <w:r>
            <w:rPr>
              <w:color w:val="000000" w:themeColor="text1"/>
              <w:sz w:val="28"/>
              <w:szCs w:val="32"/>
              <w:highlight w:val="none"/>
              <w14:textFill>
                <w14:solidFill>
                  <w14:schemeClr w14:val="tx1"/>
                </w14:solidFill>
              </w14:textFill>
            </w:rPr>
            <w:fldChar w:fldCharType="begin"/>
          </w:r>
          <w:r>
            <w:rPr>
              <w:color w:val="000000" w:themeColor="text1"/>
              <w:sz w:val="28"/>
              <w:szCs w:val="32"/>
              <w:highlight w:val="none"/>
              <w14:textFill>
                <w14:solidFill>
                  <w14:schemeClr w14:val="tx1"/>
                </w14:solidFill>
              </w14:textFill>
            </w:rPr>
            <w:instrText xml:space="preserve"> HYPERLINK \l _Toc15100 </w:instrText>
          </w:r>
          <w:r>
            <w:rPr>
              <w:color w:val="000000" w:themeColor="text1"/>
              <w:sz w:val="28"/>
              <w:szCs w:val="32"/>
              <w:highlight w:val="none"/>
              <w14:textFill>
                <w14:solidFill>
                  <w14:schemeClr w14:val="tx1"/>
                </w14:solidFill>
              </w14:textFill>
            </w:rPr>
            <w:fldChar w:fldCharType="separate"/>
          </w:r>
          <w:r>
            <w:rPr>
              <w:rFonts w:hint="eastAsia"/>
              <w:color w:val="000000" w:themeColor="text1"/>
              <w:sz w:val="28"/>
              <w:szCs w:val="48"/>
              <w:highlight w:val="none"/>
              <w:lang w:val="en-US" w:eastAsia="zh-CN"/>
              <w14:textFill>
                <w14:solidFill>
                  <w14:schemeClr w14:val="tx1"/>
                </w14:solidFill>
              </w14:textFill>
            </w:rPr>
            <w:t>第一章  工程项目建议书、可研报告编制评估费</w:t>
          </w:r>
          <w:r>
            <w:rPr>
              <w:color w:val="000000" w:themeColor="text1"/>
              <w:sz w:val="28"/>
              <w:szCs w:val="32"/>
              <w:highlight w:val="none"/>
              <w14:textFill>
                <w14:solidFill>
                  <w14:schemeClr w14:val="tx1"/>
                </w14:solidFill>
              </w14:textFill>
            </w:rPr>
            <w:tab/>
          </w:r>
          <w:r>
            <w:rPr>
              <w:color w:val="000000" w:themeColor="text1"/>
              <w:sz w:val="28"/>
              <w:szCs w:val="32"/>
              <w:highlight w:val="none"/>
              <w14:textFill>
                <w14:solidFill>
                  <w14:schemeClr w14:val="tx1"/>
                </w14:solidFill>
              </w14:textFill>
            </w:rPr>
            <w:fldChar w:fldCharType="begin"/>
          </w:r>
          <w:r>
            <w:rPr>
              <w:color w:val="000000" w:themeColor="text1"/>
              <w:sz w:val="28"/>
              <w:szCs w:val="32"/>
              <w:highlight w:val="none"/>
              <w14:textFill>
                <w14:solidFill>
                  <w14:schemeClr w14:val="tx1"/>
                </w14:solidFill>
              </w14:textFill>
            </w:rPr>
            <w:instrText xml:space="preserve"> PAGEREF _Toc15100 </w:instrText>
          </w:r>
          <w:r>
            <w:rPr>
              <w:color w:val="000000" w:themeColor="text1"/>
              <w:sz w:val="28"/>
              <w:szCs w:val="32"/>
              <w:highlight w:val="none"/>
              <w14:textFill>
                <w14:solidFill>
                  <w14:schemeClr w14:val="tx1"/>
                </w14:solidFill>
              </w14:textFill>
            </w:rPr>
            <w:fldChar w:fldCharType="separate"/>
          </w:r>
          <w:r>
            <w:rPr>
              <w:color w:val="000000" w:themeColor="text1"/>
              <w:sz w:val="28"/>
              <w:szCs w:val="32"/>
              <w:highlight w:val="none"/>
              <w14:textFill>
                <w14:solidFill>
                  <w14:schemeClr w14:val="tx1"/>
                </w14:solidFill>
              </w14:textFill>
            </w:rPr>
            <w:t>3</w:t>
          </w:r>
          <w:r>
            <w:rPr>
              <w:color w:val="000000" w:themeColor="text1"/>
              <w:sz w:val="28"/>
              <w:szCs w:val="32"/>
              <w:highlight w:val="none"/>
              <w14:textFill>
                <w14:solidFill>
                  <w14:schemeClr w14:val="tx1"/>
                </w14:solidFill>
              </w14:textFill>
            </w:rPr>
            <w:fldChar w:fldCharType="end"/>
          </w:r>
          <w:r>
            <w:rPr>
              <w:color w:val="000000" w:themeColor="text1"/>
              <w:sz w:val="28"/>
              <w:szCs w:val="32"/>
              <w:highlight w:val="none"/>
              <w14:textFill>
                <w14:solidFill>
                  <w14:schemeClr w14:val="tx1"/>
                </w14:solidFill>
              </w14:textFill>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color w:val="000000" w:themeColor="text1"/>
              <w:sz w:val="28"/>
              <w:szCs w:val="32"/>
              <w:highlight w:val="none"/>
              <w14:textFill>
                <w14:solidFill>
                  <w14:schemeClr w14:val="tx1"/>
                </w14:solidFill>
              </w14:textFill>
            </w:rPr>
          </w:pPr>
          <w:r>
            <w:rPr>
              <w:color w:val="000000" w:themeColor="text1"/>
              <w:sz w:val="28"/>
              <w:szCs w:val="32"/>
              <w:highlight w:val="none"/>
              <w14:textFill>
                <w14:solidFill>
                  <w14:schemeClr w14:val="tx1"/>
                </w14:solidFill>
              </w14:textFill>
            </w:rPr>
            <w:fldChar w:fldCharType="begin"/>
          </w:r>
          <w:r>
            <w:rPr>
              <w:color w:val="000000" w:themeColor="text1"/>
              <w:sz w:val="28"/>
              <w:szCs w:val="32"/>
              <w:highlight w:val="none"/>
              <w14:textFill>
                <w14:solidFill>
                  <w14:schemeClr w14:val="tx1"/>
                </w14:solidFill>
              </w14:textFill>
            </w:rPr>
            <w:instrText xml:space="preserve"> HYPERLINK \l _Toc30152 </w:instrText>
          </w:r>
          <w:r>
            <w:rPr>
              <w:color w:val="000000" w:themeColor="text1"/>
              <w:sz w:val="28"/>
              <w:szCs w:val="32"/>
              <w:highlight w:val="none"/>
              <w14:textFill>
                <w14:solidFill>
                  <w14:schemeClr w14:val="tx1"/>
                </w14:solidFill>
              </w14:textFill>
            </w:rPr>
            <w:fldChar w:fldCharType="separate"/>
          </w:r>
          <w:r>
            <w:rPr>
              <w:rFonts w:hint="eastAsia"/>
              <w:color w:val="000000" w:themeColor="text1"/>
              <w:sz w:val="28"/>
              <w:szCs w:val="48"/>
              <w:highlight w:val="none"/>
              <w:lang w:val="en-US" w:eastAsia="zh-CN"/>
              <w14:textFill>
                <w14:solidFill>
                  <w14:schemeClr w14:val="tx1"/>
                </w14:solidFill>
              </w14:textFill>
            </w:rPr>
            <w:t>第二章 工程设计服务费</w:t>
          </w:r>
          <w:r>
            <w:rPr>
              <w:color w:val="000000" w:themeColor="text1"/>
              <w:sz w:val="28"/>
              <w:szCs w:val="32"/>
              <w:highlight w:val="none"/>
              <w14:textFill>
                <w14:solidFill>
                  <w14:schemeClr w14:val="tx1"/>
                </w14:solidFill>
              </w14:textFill>
            </w:rPr>
            <w:tab/>
          </w:r>
          <w:r>
            <w:rPr>
              <w:color w:val="000000" w:themeColor="text1"/>
              <w:sz w:val="28"/>
              <w:szCs w:val="32"/>
              <w:highlight w:val="none"/>
              <w14:textFill>
                <w14:solidFill>
                  <w14:schemeClr w14:val="tx1"/>
                </w14:solidFill>
              </w14:textFill>
            </w:rPr>
            <w:fldChar w:fldCharType="begin"/>
          </w:r>
          <w:r>
            <w:rPr>
              <w:color w:val="000000" w:themeColor="text1"/>
              <w:sz w:val="28"/>
              <w:szCs w:val="32"/>
              <w:highlight w:val="none"/>
              <w14:textFill>
                <w14:solidFill>
                  <w14:schemeClr w14:val="tx1"/>
                </w14:solidFill>
              </w14:textFill>
            </w:rPr>
            <w:instrText xml:space="preserve"> PAGEREF _Toc30152 </w:instrText>
          </w:r>
          <w:r>
            <w:rPr>
              <w:color w:val="000000" w:themeColor="text1"/>
              <w:sz w:val="28"/>
              <w:szCs w:val="32"/>
              <w:highlight w:val="none"/>
              <w14:textFill>
                <w14:solidFill>
                  <w14:schemeClr w14:val="tx1"/>
                </w14:solidFill>
              </w14:textFill>
            </w:rPr>
            <w:fldChar w:fldCharType="separate"/>
          </w:r>
          <w:r>
            <w:rPr>
              <w:color w:val="000000" w:themeColor="text1"/>
              <w:sz w:val="28"/>
              <w:szCs w:val="32"/>
              <w:highlight w:val="none"/>
              <w14:textFill>
                <w14:solidFill>
                  <w14:schemeClr w14:val="tx1"/>
                </w14:solidFill>
              </w14:textFill>
            </w:rPr>
            <w:t>10</w:t>
          </w:r>
          <w:r>
            <w:rPr>
              <w:color w:val="000000" w:themeColor="text1"/>
              <w:sz w:val="28"/>
              <w:szCs w:val="32"/>
              <w:highlight w:val="none"/>
              <w14:textFill>
                <w14:solidFill>
                  <w14:schemeClr w14:val="tx1"/>
                </w14:solidFill>
              </w14:textFill>
            </w:rPr>
            <w:fldChar w:fldCharType="end"/>
          </w:r>
          <w:r>
            <w:rPr>
              <w:color w:val="000000" w:themeColor="text1"/>
              <w:sz w:val="28"/>
              <w:szCs w:val="32"/>
              <w:highlight w:val="none"/>
              <w14:textFill>
                <w14:solidFill>
                  <w14:schemeClr w14:val="tx1"/>
                </w14:solidFill>
              </w14:textFill>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color w:val="000000" w:themeColor="text1"/>
              <w:sz w:val="28"/>
              <w:szCs w:val="32"/>
              <w:highlight w:val="none"/>
              <w14:textFill>
                <w14:solidFill>
                  <w14:schemeClr w14:val="tx1"/>
                </w14:solidFill>
              </w14:textFill>
            </w:rPr>
          </w:pPr>
          <w:r>
            <w:rPr>
              <w:color w:val="000000" w:themeColor="text1"/>
              <w:sz w:val="28"/>
              <w:szCs w:val="32"/>
              <w:highlight w:val="none"/>
              <w14:textFill>
                <w14:solidFill>
                  <w14:schemeClr w14:val="tx1"/>
                </w14:solidFill>
              </w14:textFill>
            </w:rPr>
            <w:fldChar w:fldCharType="begin"/>
          </w:r>
          <w:r>
            <w:rPr>
              <w:color w:val="000000" w:themeColor="text1"/>
              <w:sz w:val="28"/>
              <w:szCs w:val="32"/>
              <w:highlight w:val="none"/>
              <w14:textFill>
                <w14:solidFill>
                  <w14:schemeClr w14:val="tx1"/>
                </w14:solidFill>
              </w14:textFill>
            </w:rPr>
            <w:instrText xml:space="preserve"> HYPERLINK \l _Toc21306 </w:instrText>
          </w:r>
          <w:r>
            <w:rPr>
              <w:color w:val="000000" w:themeColor="text1"/>
              <w:sz w:val="28"/>
              <w:szCs w:val="32"/>
              <w:highlight w:val="none"/>
              <w14:textFill>
                <w14:solidFill>
                  <w14:schemeClr w14:val="tx1"/>
                </w14:solidFill>
              </w14:textFill>
            </w:rPr>
            <w:fldChar w:fldCharType="separate"/>
          </w:r>
          <w:r>
            <w:rPr>
              <w:rFonts w:hint="eastAsia"/>
              <w:color w:val="000000" w:themeColor="text1"/>
              <w:sz w:val="28"/>
              <w:szCs w:val="48"/>
              <w:highlight w:val="none"/>
              <w:lang w:val="en-US" w:eastAsia="zh-CN"/>
              <w14:textFill>
                <w14:solidFill>
                  <w14:schemeClr w14:val="tx1"/>
                </w14:solidFill>
              </w14:textFill>
            </w:rPr>
            <w:t>第三章  工程监理与相关服务费</w:t>
          </w:r>
          <w:r>
            <w:rPr>
              <w:color w:val="000000" w:themeColor="text1"/>
              <w:sz w:val="28"/>
              <w:szCs w:val="32"/>
              <w:highlight w:val="none"/>
              <w14:textFill>
                <w14:solidFill>
                  <w14:schemeClr w14:val="tx1"/>
                </w14:solidFill>
              </w14:textFill>
            </w:rPr>
            <w:tab/>
          </w:r>
          <w:r>
            <w:rPr>
              <w:color w:val="000000" w:themeColor="text1"/>
              <w:sz w:val="28"/>
              <w:szCs w:val="32"/>
              <w:highlight w:val="none"/>
              <w14:textFill>
                <w14:solidFill>
                  <w14:schemeClr w14:val="tx1"/>
                </w14:solidFill>
              </w14:textFill>
            </w:rPr>
            <w:fldChar w:fldCharType="begin"/>
          </w:r>
          <w:r>
            <w:rPr>
              <w:color w:val="000000" w:themeColor="text1"/>
              <w:sz w:val="28"/>
              <w:szCs w:val="32"/>
              <w:highlight w:val="none"/>
              <w14:textFill>
                <w14:solidFill>
                  <w14:schemeClr w14:val="tx1"/>
                </w14:solidFill>
              </w14:textFill>
            </w:rPr>
            <w:instrText xml:space="preserve"> PAGEREF _Toc21306 </w:instrText>
          </w:r>
          <w:r>
            <w:rPr>
              <w:color w:val="000000" w:themeColor="text1"/>
              <w:sz w:val="28"/>
              <w:szCs w:val="32"/>
              <w:highlight w:val="none"/>
              <w14:textFill>
                <w14:solidFill>
                  <w14:schemeClr w14:val="tx1"/>
                </w14:solidFill>
              </w14:textFill>
            </w:rPr>
            <w:fldChar w:fldCharType="separate"/>
          </w:r>
          <w:r>
            <w:rPr>
              <w:color w:val="000000" w:themeColor="text1"/>
              <w:sz w:val="28"/>
              <w:szCs w:val="32"/>
              <w:highlight w:val="none"/>
              <w14:textFill>
                <w14:solidFill>
                  <w14:schemeClr w14:val="tx1"/>
                </w14:solidFill>
              </w14:textFill>
            </w:rPr>
            <w:t>27</w:t>
          </w:r>
          <w:r>
            <w:rPr>
              <w:color w:val="000000" w:themeColor="text1"/>
              <w:sz w:val="28"/>
              <w:szCs w:val="32"/>
              <w:highlight w:val="none"/>
              <w14:textFill>
                <w14:solidFill>
                  <w14:schemeClr w14:val="tx1"/>
                </w14:solidFill>
              </w14:textFill>
            </w:rPr>
            <w:fldChar w:fldCharType="end"/>
          </w:r>
          <w:r>
            <w:rPr>
              <w:color w:val="000000" w:themeColor="text1"/>
              <w:sz w:val="28"/>
              <w:szCs w:val="32"/>
              <w:highlight w:val="none"/>
              <w14:textFill>
                <w14:solidFill>
                  <w14:schemeClr w14:val="tx1"/>
                </w14:solidFill>
              </w14:textFill>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color w:val="000000" w:themeColor="text1"/>
              <w:sz w:val="28"/>
              <w:szCs w:val="32"/>
              <w:highlight w:val="none"/>
              <w14:textFill>
                <w14:solidFill>
                  <w14:schemeClr w14:val="tx1"/>
                </w14:solidFill>
              </w14:textFill>
            </w:rPr>
          </w:pPr>
          <w:r>
            <w:rPr>
              <w:color w:val="000000" w:themeColor="text1"/>
              <w:sz w:val="28"/>
              <w:szCs w:val="32"/>
              <w:highlight w:val="none"/>
              <w14:textFill>
                <w14:solidFill>
                  <w14:schemeClr w14:val="tx1"/>
                </w14:solidFill>
              </w14:textFill>
            </w:rPr>
            <w:fldChar w:fldCharType="begin"/>
          </w:r>
          <w:r>
            <w:rPr>
              <w:color w:val="000000" w:themeColor="text1"/>
              <w:sz w:val="28"/>
              <w:szCs w:val="32"/>
              <w:highlight w:val="none"/>
              <w14:textFill>
                <w14:solidFill>
                  <w14:schemeClr w14:val="tx1"/>
                </w14:solidFill>
              </w14:textFill>
            </w:rPr>
            <w:instrText xml:space="preserve"> HYPERLINK \l _Toc21649 </w:instrText>
          </w:r>
          <w:r>
            <w:rPr>
              <w:color w:val="000000" w:themeColor="text1"/>
              <w:sz w:val="28"/>
              <w:szCs w:val="32"/>
              <w:highlight w:val="none"/>
              <w14:textFill>
                <w14:solidFill>
                  <w14:schemeClr w14:val="tx1"/>
                </w14:solidFill>
              </w14:textFill>
            </w:rPr>
            <w:fldChar w:fldCharType="separate"/>
          </w:r>
          <w:r>
            <w:rPr>
              <w:rFonts w:hint="eastAsia"/>
              <w:color w:val="000000" w:themeColor="text1"/>
              <w:sz w:val="28"/>
              <w:szCs w:val="48"/>
              <w:highlight w:val="none"/>
              <w:lang w:val="en-US" w:eastAsia="zh-CN"/>
              <w14:textFill>
                <w14:solidFill>
                  <w14:schemeClr w14:val="tx1"/>
                </w14:solidFill>
              </w14:textFill>
            </w:rPr>
            <w:t>第四章  工程造价咨询服务费</w:t>
          </w:r>
          <w:r>
            <w:rPr>
              <w:color w:val="000000" w:themeColor="text1"/>
              <w:sz w:val="28"/>
              <w:szCs w:val="32"/>
              <w:highlight w:val="none"/>
              <w14:textFill>
                <w14:solidFill>
                  <w14:schemeClr w14:val="tx1"/>
                </w14:solidFill>
              </w14:textFill>
            </w:rPr>
            <w:tab/>
          </w:r>
          <w:r>
            <w:rPr>
              <w:color w:val="000000" w:themeColor="text1"/>
              <w:sz w:val="28"/>
              <w:szCs w:val="32"/>
              <w:highlight w:val="none"/>
              <w14:textFill>
                <w14:solidFill>
                  <w14:schemeClr w14:val="tx1"/>
                </w14:solidFill>
              </w14:textFill>
            </w:rPr>
            <w:fldChar w:fldCharType="begin"/>
          </w:r>
          <w:r>
            <w:rPr>
              <w:color w:val="000000" w:themeColor="text1"/>
              <w:sz w:val="28"/>
              <w:szCs w:val="32"/>
              <w:highlight w:val="none"/>
              <w14:textFill>
                <w14:solidFill>
                  <w14:schemeClr w14:val="tx1"/>
                </w14:solidFill>
              </w14:textFill>
            </w:rPr>
            <w:instrText xml:space="preserve"> PAGEREF _Toc21649 </w:instrText>
          </w:r>
          <w:r>
            <w:rPr>
              <w:color w:val="000000" w:themeColor="text1"/>
              <w:sz w:val="28"/>
              <w:szCs w:val="32"/>
              <w:highlight w:val="none"/>
              <w14:textFill>
                <w14:solidFill>
                  <w14:schemeClr w14:val="tx1"/>
                </w14:solidFill>
              </w14:textFill>
            </w:rPr>
            <w:fldChar w:fldCharType="separate"/>
          </w:r>
          <w:r>
            <w:rPr>
              <w:color w:val="000000" w:themeColor="text1"/>
              <w:sz w:val="28"/>
              <w:szCs w:val="32"/>
              <w:highlight w:val="none"/>
              <w14:textFill>
                <w14:solidFill>
                  <w14:schemeClr w14:val="tx1"/>
                </w14:solidFill>
              </w14:textFill>
            </w:rPr>
            <w:t>38</w:t>
          </w:r>
          <w:r>
            <w:rPr>
              <w:color w:val="000000" w:themeColor="text1"/>
              <w:sz w:val="28"/>
              <w:szCs w:val="32"/>
              <w:highlight w:val="none"/>
              <w14:textFill>
                <w14:solidFill>
                  <w14:schemeClr w14:val="tx1"/>
                </w14:solidFill>
              </w14:textFill>
            </w:rPr>
            <w:fldChar w:fldCharType="end"/>
          </w:r>
          <w:r>
            <w:rPr>
              <w:color w:val="000000" w:themeColor="text1"/>
              <w:sz w:val="28"/>
              <w:szCs w:val="32"/>
              <w:highlight w:val="none"/>
              <w14:textFill>
                <w14:solidFill>
                  <w14:schemeClr w14:val="tx1"/>
                </w14:solidFill>
              </w14:textFill>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color w:val="000000" w:themeColor="text1"/>
              <w:sz w:val="28"/>
              <w:szCs w:val="32"/>
              <w:highlight w:val="none"/>
              <w14:textFill>
                <w14:solidFill>
                  <w14:schemeClr w14:val="tx1"/>
                </w14:solidFill>
              </w14:textFill>
            </w:rPr>
          </w:pPr>
          <w:r>
            <w:rPr>
              <w:color w:val="000000" w:themeColor="text1"/>
              <w:sz w:val="28"/>
              <w:szCs w:val="32"/>
              <w:highlight w:val="none"/>
              <w14:textFill>
                <w14:solidFill>
                  <w14:schemeClr w14:val="tx1"/>
                </w14:solidFill>
              </w14:textFill>
            </w:rPr>
            <w:fldChar w:fldCharType="begin"/>
          </w:r>
          <w:r>
            <w:rPr>
              <w:color w:val="000000" w:themeColor="text1"/>
              <w:sz w:val="28"/>
              <w:szCs w:val="32"/>
              <w:highlight w:val="none"/>
              <w14:textFill>
                <w14:solidFill>
                  <w14:schemeClr w14:val="tx1"/>
                </w14:solidFill>
              </w14:textFill>
            </w:rPr>
            <w:instrText xml:space="preserve"> HYPERLINK \l _Toc31227 </w:instrText>
          </w:r>
          <w:r>
            <w:rPr>
              <w:color w:val="000000" w:themeColor="text1"/>
              <w:sz w:val="28"/>
              <w:szCs w:val="32"/>
              <w:highlight w:val="none"/>
              <w14:textFill>
                <w14:solidFill>
                  <w14:schemeClr w14:val="tx1"/>
                </w14:solidFill>
              </w14:textFill>
            </w:rPr>
            <w:fldChar w:fldCharType="separate"/>
          </w:r>
          <w:r>
            <w:rPr>
              <w:rFonts w:hint="eastAsia"/>
              <w:color w:val="000000" w:themeColor="text1"/>
              <w:sz w:val="28"/>
              <w:szCs w:val="48"/>
              <w:highlight w:val="none"/>
              <w:lang w:val="en-US" w:eastAsia="zh-CN"/>
              <w14:textFill>
                <w14:solidFill>
                  <w14:schemeClr w14:val="tx1"/>
                </w14:solidFill>
              </w14:textFill>
            </w:rPr>
            <w:t>第五章  工程测量费</w:t>
          </w:r>
          <w:r>
            <w:rPr>
              <w:color w:val="000000" w:themeColor="text1"/>
              <w:sz w:val="28"/>
              <w:szCs w:val="32"/>
              <w:highlight w:val="none"/>
              <w14:textFill>
                <w14:solidFill>
                  <w14:schemeClr w14:val="tx1"/>
                </w14:solidFill>
              </w14:textFill>
            </w:rPr>
            <w:tab/>
          </w:r>
          <w:r>
            <w:rPr>
              <w:color w:val="000000" w:themeColor="text1"/>
              <w:sz w:val="28"/>
              <w:szCs w:val="32"/>
              <w:highlight w:val="none"/>
              <w14:textFill>
                <w14:solidFill>
                  <w14:schemeClr w14:val="tx1"/>
                </w14:solidFill>
              </w14:textFill>
            </w:rPr>
            <w:fldChar w:fldCharType="begin"/>
          </w:r>
          <w:r>
            <w:rPr>
              <w:color w:val="000000" w:themeColor="text1"/>
              <w:sz w:val="28"/>
              <w:szCs w:val="32"/>
              <w:highlight w:val="none"/>
              <w14:textFill>
                <w14:solidFill>
                  <w14:schemeClr w14:val="tx1"/>
                </w14:solidFill>
              </w14:textFill>
            </w:rPr>
            <w:instrText xml:space="preserve"> PAGEREF _Toc31227 </w:instrText>
          </w:r>
          <w:r>
            <w:rPr>
              <w:color w:val="000000" w:themeColor="text1"/>
              <w:sz w:val="28"/>
              <w:szCs w:val="32"/>
              <w:highlight w:val="none"/>
              <w14:textFill>
                <w14:solidFill>
                  <w14:schemeClr w14:val="tx1"/>
                </w14:solidFill>
              </w14:textFill>
            </w:rPr>
            <w:fldChar w:fldCharType="separate"/>
          </w:r>
          <w:r>
            <w:rPr>
              <w:color w:val="000000" w:themeColor="text1"/>
              <w:sz w:val="28"/>
              <w:szCs w:val="32"/>
              <w:highlight w:val="none"/>
              <w14:textFill>
                <w14:solidFill>
                  <w14:schemeClr w14:val="tx1"/>
                </w14:solidFill>
              </w14:textFill>
            </w:rPr>
            <w:t>51</w:t>
          </w:r>
          <w:r>
            <w:rPr>
              <w:color w:val="000000" w:themeColor="text1"/>
              <w:sz w:val="28"/>
              <w:szCs w:val="32"/>
              <w:highlight w:val="none"/>
              <w14:textFill>
                <w14:solidFill>
                  <w14:schemeClr w14:val="tx1"/>
                </w14:solidFill>
              </w14:textFill>
            </w:rPr>
            <w:fldChar w:fldCharType="end"/>
          </w:r>
          <w:r>
            <w:rPr>
              <w:color w:val="000000" w:themeColor="text1"/>
              <w:sz w:val="28"/>
              <w:szCs w:val="32"/>
              <w:highlight w:val="none"/>
              <w14:textFill>
                <w14:solidFill>
                  <w14:schemeClr w14:val="tx1"/>
                </w14:solidFill>
              </w14:textFill>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color w:val="000000" w:themeColor="text1"/>
              <w:sz w:val="28"/>
              <w:szCs w:val="32"/>
              <w:highlight w:val="none"/>
              <w14:textFill>
                <w14:solidFill>
                  <w14:schemeClr w14:val="tx1"/>
                </w14:solidFill>
              </w14:textFill>
            </w:rPr>
          </w:pPr>
          <w:r>
            <w:rPr>
              <w:color w:val="000000" w:themeColor="text1"/>
              <w:sz w:val="28"/>
              <w:szCs w:val="32"/>
              <w:highlight w:val="none"/>
              <w14:textFill>
                <w14:solidFill>
                  <w14:schemeClr w14:val="tx1"/>
                </w14:solidFill>
              </w14:textFill>
            </w:rPr>
            <w:fldChar w:fldCharType="begin"/>
          </w:r>
          <w:r>
            <w:rPr>
              <w:color w:val="000000" w:themeColor="text1"/>
              <w:sz w:val="28"/>
              <w:szCs w:val="32"/>
              <w:highlight w:val="none"/>
              <w14:textFill>
                <w14:solidFill>
                  <w14:schemeClr w14:val="tx1"/>
                </w14:solidFill>
              </w14:textFill>
            </w:rPr>
            <w:instrText xml:space="preserve"> HYPERLINK \l _Toc27165 </w:instrText>
          </w:r>
          <w:r>
            <w:rPr>
              <w:color w:val="000000" w:themeColor="text1"/>
              <w:sz w:val="28"/>
              <w:szCs w:val="32"/>
              <w:highlight w:val="none"/>
              <w14:textFill>
                <w14:solidFill>
                  <w14:schemeClr w14:val="tx1"/>
                </w14:solidFill>
              </w14:textFill>
            </w:rPr>
            <w:fldChar w:fldCharType="separate"/>
          </w:r>
          <w:r>
            <w:rPr>
              <w:rFonts w:hint="eastAsia"/>
              <w:color w:val="000000" w:themeColor="text1"/>
              <w:sz w:val="28"/>
              <w:szCs w:val="48"/>
              <w:highlight w:val="none"/>
              <w:lang w:val="en-US" w:eastAsia="zh-CN"/>
              <w14:textFill>
                <w14:solidFill>
                  <w14:schemeClr w14:val="tx1"/>
                </w14:solidFill>
              </w14:textFill>
            </w:rPr>
            <w:t>第六章  工程质量检测费</w:t>
          </w:r>
          <w:r>
            <w:rPr>
              <w:color w:val="000000" w:themeColor="text1"/>
              <w:sz w:val="28"/>
              <w:szCs w:val="32"/>
              <w:highlight w:val="none"/>
              <w14:textFill>
                <w14:solidFill>
                  <w14:schemeClr w14:val="tx1"/>
                </w14:solidFill>
              </w14:textFill>
            </w:rPr>
            <w:tab/>
          </w:r>
          <w:r>
            <w:rPr>
              <w:color w:val="000000" w:themeColor="text1"/>
              <w:sz w:val="28"/>
              <w:szCs w:val="32"/>
              <w:highlight w:val="none"/>
              <w14:textFill>
                <w14:solidFill>
                  <w14:schemeClr w14:val="tx1"/>
                </w14:solidFill>
              </w14:textFill>
            </w:rPr>
            <w:fldChar w:fldCharType="begin"/>
          </w:r>
          <w:r>
            <w:rPr>
              <w:color w:val="000000" w:themeColor="text1"/>
              <w:sz w:val="28"/>
              <w:szCs w:val="32"/>
              <w:highlight w:val="none"/>
              <w14:textFill>
                <w14:solidFill>
                  <w14:schemeClr w14:val="tx1"/>
                </w14:solidFill>
              </w14:textFill>
            </w:rPr>
            <w:instrText xml:space="preserve"> PAGEREF _Toc27165 </w:instrText>
          </w:r>
          <w:r>
            <w:rPr>
              <w:color w:val="000000" w:themeColor="text1"/>
              <w:sz w:val="28"/>
              <w:szCs w:val="32"/>
              <w:highlight w:val="none"/>
              <w14:textFill>
                <w14:solidFill>
                  <w14:schemeClr w14:val="tx1"/>
                </w14:solidFill>
              </w14:textFill>
            </w:rPr>
            <w:fldChar w:fldCharType="separate"/>
          </w:r>
          <w:r>
            <w:rPr>
              <w:color w:val="000000" w:themeColor="text1"/>
              <w:sz w:val="28"/>
              <w:szCs w:val="32"/>
              <w:highlight w:val="none"/>
              <w14:textFill>
                <w14:solidFill>
                  <w14:schemeClr w14:val="tx1"/>
                </w14:solidFill>
              </w14:textFill>
            </w:rPr>
            <w:t>65</w:t>
          </w:r>
          <w:r>
            <w:rPr>
              <w:color w:val="000000" w:themeColor="text1"/>
              <w:sz w:val="28"/>
              <w:szCs w:val="32"/>
              <w:highlight w:val="none"/>
              <w14:textFill>
                <w14:solidFill>
                  <w14:schemeClr w14:val="tx1"/>
                </w14:solidFill>
              </w14:textFill>
            </w:rPr>
            <w:fldChar w:fldCharType="end"/>
          </w:r>
          <w:r>
            <w:rPr>
              <w:color w:val="000000" w:themeColor="text1"/>
              <w:sz w:val="28"/>
              <w:szCs w:val="32"/>
              <w:highlight w:val="none"/>
              <w14:textFill>
                <w14:solidFill>
                  <w14:schemeClr w14:val="tx1"/>
                </w14:solidFill>
              </w14:textFill>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color w:val="000000" w:themeColor="text1"/>
              <w:sz w:val="28"/>
              <w:szCs w:val="32"/>
              <w:highlight w:val="none"/>
              <w14:textFill>
                <w14:solidFill>
                  <w14:schemeClr w14:val="tx1"/>
                </w14:solidFill>
              </w14:textFill>
            </w:rPr>
          </w:pPr>
          <w:r>
            <w:rPr>
              <w:color w:val="000000" w:themeColor="text1"/>
              <w:sz w:val="28"/>
              <w:szCs w:val="32"/>
              <w:highlight w:val="none"/>
              <w14:textFill>
                <w14:solidFill>
                  <w14:schemeClr w14:val="tx1"/>
                </w14:solidFill>
              </w14:textFill>
            </w:rPr>
            <w:fldChar w:fldCharType="begin"/>
          </w:r>
          <w:r>
            <w:rPr>
              <w:color w:val="000000" w:themeColor="text1"/>
              <w:sz w:val="28"/>
              <w:szCs w:val="32"/>
              <w:highlight w:val="none"/>
              <w14:textFill>
                <w14:solidFill>
                  <w14:schemeClr w14:val="tx1"/>
                </w14:solidFill>
              </w14:textFill>
            </w:rPr>
            <w:instrText xml:space="preserve"> HYPERLINK \l _Toc8836 </w:instrText>
          </w:r>
          <w:r>
            <w:rPr>
              <w:color w:val="000000" w:themeColor="text1"/>
              <w:sz w:val="28"/>
              <w:szCs w:val="32"/>
              <w:highlight w:val="none"/>
              <w14:textFill>
                <w14:solidFill>
                  <w14:schemeClr w14:val="tx1"/>
                </w14:solidFill>
              </w14:textFill>
            </w:rPr>
            <w:fldChar w:fldCharType="separate"/>
          </w:r>
          <w:r>
            <w:rPr>
              <w:rFonts w:hint="eastAsia"/>
              <w:color w:val="000000" w:themeColor="text1"/>
              <w:sz w:val="28"/>
              <w:szCs w:val="48"/>
              <w:highlight w:val="none"/>
              <w:lang w:val="en-US" w:eastAsia="zh-CN"/>
              <w14:textFill>
                <w14:solidFill>
                  <w14:schemeClr w14:val="tx1"/>
                </w14:solidFill>
              </w14:textFill>
            </w:rPr>
            <w:t>第七章 工程勘察费</w:t>
          </w:r>
          <w:r>
            <w:rPr>
              <w:color w:val="000000" w:themeColor="text1"/>
              <w:sz w:val="28"/>
              <w:szCs w:val="32"/>
              <w:highlight w:val="none"/>
              <w14:textFill>
                <w14:solidFill>
                  <w14:schemeClr w14:val="tx1"/>
                </w14:solidFill>
              </w14:textFill>
            </w:rPr>
            <w:tab/>
          </w:r>
          <w:r>
            <w:rPr>
              <w:color w:val="000000" w:themeColor="text1"/>
              <w:sz w:val="28"/>
              <w:szCs w:val="32"/>
              <w:highlight w:val="none"/>
              <w14:textFill>
                <w14:solidFill>
                  <w14:schemeClr w14:val="tx1"/>
                </w14:solidFill>
              </w14:textFill>
            </w:rPr>
            <w:fldChar w:fldCharType="begin"/>
          </w:r>
          <w:r>
            <w:rPr>
              <w:color w:val="000000" w:themeColor="text1"/>
              <w:sz w:val="28"/>
              <w:szCs w:val="32"/>
              <w:highlight w:val="none"/>
              <w14:textFill>
                <w14:solidFill>
                  <w14:schemeClr w14:val="tx1"/>
                </w14:solidFill>
              </w14:textFill>
            </w:rPr>
            <w:instrText xml:space="preserve"> PAGEREF _Toc8836 </w:instrText>
          </w:r>
          <w:r>
            <w:rPr>
              <w:color w:val="000000" w:themeColor="text1"/>
              <w:sz w:val="28"/>
              <w:szCs w:val="32"/>
              <w:highlight w:val="none"/>
              <w14:textFill>
                <w14:solidFill>
                  <w14:schemeClr w14:val="tx1"/>
                </w14:solidFill>
              </w14:textFill>
            </w:rPr>
            <w:fldChar w:fldCharType="separate"/>
          </w:r>
          <w:r>
            <w:rPr>
              <w:color w:val="000000" w:themeColor="text1"/>
              <w:sz w:val="28"/>
              <w:szCs w:val="32"/>
              <w:highlight w:val="none"/>
              <w14:textFill>
                <w14:solidFill>
                  <w14:schemeClr w14:val="tx1"/>
                </w14:solidFill>
              </w14:textFill>
            </w:rPr>
            <w:t>103</w:t>
          </w:r>
          <w:r>
            <w:rPr>
              <w:color w:val="000000" w:themeColor="text1"/>
              <w:sz w:val="28"/>
              <w:szCs w:val="32"/>
              <w:highlight w:val="none"/>
              <w14:textFill>
                <w14:solidFill>
                  <w14:schemeClr w14:val="tx1"/>
                </w14:solidFill>
              </w14:textFill>
            </w:rPr>
            <w:fldChar w:fldCharType="end"/>
          </w:r>
          <w:r>
            <w:rPr>
              <w:color w:val="000000" w:themeColor="text1"/>
              <w:sz w:val="28"/>
              <w:szCs w:val="32"/>
              <w:highlight w:val="none"/>
              <w14:textFill>
                <w14:solidFill>
                  <w14:schemeClr w14:val="tx1"/>
                </w14:solidFill>
              </w14:textFill>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color w:val="000000" w:themeColor="text1"/>
              <w:sz w:val="28"/>
              <w:szCs w:val="32"/>
              <w:highlight w:val="none"/>
              <w14:textFill>
                <w14:solidFill>
                  <w14:schemeClr w14:val="tx1"/>
                </w14:solidFill>
              </w14:textFill>
            </w:rPr>
          </w:pPr>
          <w:r>
            <w:rPr>
              <w:color w:val="000000" w:themeColor="text1"/>
              <w:sz w:val="28"/>
              <w:szCs w:val="32"/>
              <w:highlight w:val="none"/>
              <w14:textFill>
                <w14:solidFill>
                  <w14:schemeClr w14:val="tx1"/>
                </w14:solidFill>
              </w14:textFill>
            </w:rPr>
            <w:fldChar w:fldCharType="begin"/>
          </w:r>
          <w:r>
            <w:rPr>
              <w:color w:val="000000" w:themeColor="text1"/>
              <w:sz w:val="28"/>
              <w:szCs w:val="32"/>
              <w:highlight w:val="none"/>
              <w14:textFill>
                <w14:solidFill>
                  <w14:schemeClr w14:val="tx1"/>
                </w14:solidFill>
              </w14:textFill>
            </w:rPr>
            <w:instrText xml:space="preserve"> HYPERLINK \l _Toc8478 </w:instrText>
          </w:r>
          <w:r>
            <w:rPr>
              <w:color w:val="000000" w:themeColor="text1"/>
              <w:sz w:val="28"/>
              <w:szCs w:val="32"/>
              <w:highlight w:val="none"/>
              <w14:textFill>
                <w14:solidFill>
                  <w14:schemeClr w14:val="tx1"/>
                </w14:solidFill>
              </w14:textFill>
            </w:rPr>
            <w:fldChar w:fldCharType="separate"/>
          </w:r>
          <w:r>
            <w:rPr>
              <w:rFonts w:hint="eastAsia"/>
              <w:color w:val="000000" w:themeColor="text1"/>
              <w:sz w:val="28"/>
              <w:szCs w:val="48"/>
              <w:highlight w:val="none"/>
              <w:lang w:val="en-US" w:eastAsia="zh-CN"/>
              <w14:textFill>
                <w14:solidFill>
                  <w14:schemeClr w14:val="tx1"/>
                </w14:solidFill>
              </w14:textFill>
            </w:rPr>
            <w:t>第八章 第三方工程监测费</w:t>
          </w:r>
          <w:r>
            <w:rPr>
              <w:color w:val="000000" w:themeColor="text1"/>
              <w:sz w:val="28"/>
              <w:szCs w:val="32"/>
              <w:highlight w:val="none"/>
              <w14:textFill>
                <w14:solidFill>
                  <w14:schemeClr w14:val="tx1"/>
                </w14:solidFill>
              </w14:textFill>
            </w:rPr>
            <w:tab/>
          </w:r>
          <w:r>
            <w:rPr>
              <w:color w:val="000000" w:themeColor="text1"/>
              <w:sz w:val="28"/>
              <w:szCs w:val="32"/>
              <w:highlight w:val="none"/>
              <w14:textFill>
                <w14:solidFill>
                  <w14:schemeClr w14:val="tx1"/>
                </w14:solidFill>
              </w14:textFill>
            </w:rPr>
            <w:fldChar w:fldCharType="begin"/>
          </w:r>
          <w:r>
            <w:rPr>
              <w:color w:val="000000" w:themeColor="text1"/>
              <w:sz w:val="28"/>
              <w:szCs w:val="32"/>
              <w:highlight w:val="none"/>
              <w14:textFill>
                <w14:solidFill>
                  <w14:schemeClr w14:val="tx1"/>
                </w14:solidFill>
              </w14:textFill>
            </w:rPr>
            <w:instrText xml:space="preserve"> PAGEREF _Toc8478 </w:instrText>
          </w:r>
          <w:r>
            <w:rPr>
              <w:color w:val="000000" w:themeColor="text1"/>
              <w:sz w:val="28"/>
              <w:szCs w:val="32"/>
              <w:highlight w:val="none"/>
              <w14:textFill>
                <w14:solidFill>
                  <w14:schemeClr w14:val="tx1"/>
                </w14:solidFill>
              </w14:textFill>
            </w:rPr>
            <w:fldChar w:fldCharType="separate"/>
          </w:r>
          <w:r>
            <w:rPr>
              <w:color w:val="000000" w:themeColor="text1"/>
              <w:sz w:val="28"/>
              <w:szCs w:val="32"/>
              <w:highlight w:val="none"/>
              <w14:textFill>
                <w14:solidFill>
                  <w14:schemeClr w14:val="tx1"/>
                </w14:solidFill>
              </w14:textFill>
            </w:rPr>
            <w:t>138</w:t>
          </w:r>
          <w:r>
            <w:rPr>
              <w:color w:val="000000" w:themeColor="text1"/>
              <w:sz w:val="28"/>
              <w:szCs w:val="32"/>
              <w:highlight w:val="none"/>
              <w14:textFill>
                <w14:solidFill>
                  <w14:schemeClr w14:val="tx1"/>
                </w14:solidFill>
              </w14:textFill>
            </w:rPr>
            <w:fldChar w:fldCharType="end"/>
          </w:r>
          <w:r>
            <w:rPr>
              <w:color w:val="000000" w:themeColor="text1"/>
              <w:sz w:val="28"/>
              <w:szCs w:val="32"/>
              <w:highlight w:val="none"/>
              <w14:textFill>
                <w14:solidFill>
                  <w14:schemeClr w14:val="tx1"/>
                </w14:solidFill>
              </w14:textFill>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color w:val="000000" w:themeColor="text1"/>
              <w:sz w:val="28"/>
              <w:szCs w:val="32"/>
              <w:highlight w:val="none"/>
              <w14:textFill>
                <w14:solidFill>
                  <w14:schemeClr w14:val="tx1"/>
                </w14:solidFill>
              </w14:textFill>
            </w:rPr>
          </w:pPr>
          <w:r>
            <w:rPr>
              <w:color w:val="000000" w:themeColor="text1"/>
              <w:sz w:val="28"/>
              <w:szCs w:val="32"/>
              <w:highlight w:val="none"/>
              <w14:textFill>
                <w14:solidFill>
                  <w14:schemeClr w14:val="tx1"/>
                </w14:solidFill>
              </w14:textFill>
            </w:rPr>
            <w:fldChar w:fldCharType="begin"/>
          </w:r>
          <w:r>
            <w:rPr>
              <w:color w:val="000000" w:themeColor="text1"/>
              <w:sz w:val="28"/>
              <w:szCs w:val="32"/>
              <w:highlight w:val="none"/>
              <w14:textFill>
                <w14:solidFill>
                  <w14:schemeClr w14:val="tx1"/>
                </w14:solidFill>
              </w14:textFill>
            </w:rPr>
            <w:instrText xml:space="preserve"> HYPERLINK \l _Toc10064 </w:instrText>
          </w:r>
          <w:r>
            <w:rPr>
              <w:color w:val="000000" w:themeColor="text1"/>
              <w:sz w:val="28"/>
              <w:szCs w:val="32"/>
              <w:highlight w:val="none"/>
              <w14:textFill>
                <w14:solidFill>
                  <w14:schemeClr w14:val="tx1"/>
                </w14:solidFill>
              </w14:textFill>
            </w:rPr>
            <w:fldChar w:fldCharType="separate"/>
          </w:r>
          <w:r>
            <w:rPr>
              <w:rFonts w:hint="eastAsia"/>
              <w:color w:val="000000" w:themeColor="text1"/>
              <w:sz w:val="28"/>
              <w:szCs w:val="48"/>
              <w:highlight w:val="none"/>
              <w:lang w:val="en-US" w:eastAsia="zh-CN"/>
              <w14:textFill>
                <w14:solidFill>
                  <w14:schemeClr w14:val="tx1"/>
                </w14:solidFill>
              </w14:textFill>
            </w:rPr>
            <w:t>参考依据</w:t>
          </w:r>
          <w:r>
            <w:rPr>
              <w:color w:val="000000" w:themeColor="text1"/>
              <w:sz w:val="28"/>
              <w:szCs w:val="32"/>
              <w:highlight w:val="none"/>
              <w14:textFill>
                <w14:solidFill>
                  <w14:schemeClr w14:val="tx1"/>
                </w14:solidFill>
              </w14:textFill>
            </w:rPr>
            <w:tab/>
          </w:r>
          <w:r>
            <w:rPr>
              <w:color w:val="000000" w:themeColor="text1"/>
              <w:sz w:val="28"/>
              <w:szCs w:val="32"/>
              <w:highlight w:val="none"/>
              <w14:textFill>
                <w14:solidFill>
                  <w14:schemeClr w14:val="tx1"/>
                </w14:solidFill>
              </w14:textFill>
            </w:rPr>
            <w:fldChar w:fldCharType="begin"/>
          </w:r>
          <w:r>
            <w:rPr>
              <w:color w:val="000000" w:themeColor="text1"/>
              <w:sz w:val="28"/>
              <w:szCs w:val="32"/>
              <w:highlight w:val="none"/>
              <w14:textFill>
                <w14:solidFill>
                  <w14:schemeClr w14:val="tx1"/>
                </w14:solidFill>
              </w14:textFill>
            </w:rPr>
            <w:instrText xml:space="preserve"> PAGEREF _Toc10064 </w:instrText>
          </w:r>
          <w:r>
            <w:rPr>
              <w:color w:val="000000" w:themeColor="text1"/>
              <w:sz w:val="28"/>
              <w:szCs w:val="32"/>
              <w:highlight w:val="none"/>
              <w14:textFill>
                <w14:solidFill>
                  <w14:schemeClr w14:val="tx1"/>
                </w14:solidFill>
              </w14:textFill>
            </w:rPr>
            <w:fldChar w:fldCharType="separate"/>
          </w:r>
          <w:r>
            <w:rPr>
              <w:color w:val="000000" w:themeColor="text1"/>
              <w:sz w:val="28"/>
              <w:szCs w:val="32"/>
              <w:highlight w:val="none"/>
              <w14:textFill>
                <w14:solidFill>
                  <w14:schemeClr w14:val="tx1"/>
                </w14:solidFill>
              </w14:textFill>
            </w:rPr>
            <w:t>151</w:t>
          </w:r>
          <w:r>
            <w:rPr>
              <w:color w:val="000000" w:themeColor="text1"/>
              <w:sz w:val="28"/>
              <w:szCs w:val="32"/>
              <w:highlight w:val="none"/>
              <w14:textFill>
                <w14:solidFill>
                  <w14:schemeClr w14:val="tx1"/>
                </w14:solidFill>
              </w14:textFill>
            </w:rPr>
            <w:fldChar w:fldCharType="end"/>
          </w:r>
          <w:r>
            <w:rPr>
              <w:color w:val="000000" w:themeColor="text1"/>
              <w:sz w:val="28"/>
              <w:szCs w:val="32"/>
              <w:highlight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480" w:lineRule="auto"/>
            <w:textAlignment w:val="auto"/>
            <w:rPr>
              <w:color w:val="000000" w:themeColor="text1"/>
              <w:highlight w:val="none"/>
              <w14:textFill>
                <w14:solidFill>
                  <w14:schemeClr w14:val="tx1"/>
                </w14:solidFill>
              </w14:textFill>
            </w:rPr>
          </w:pPr>
          <w:r>
            <w:rPr>
              <w:color w:val="000000" w:themeColor="text1"/>
              <w:sz w:val="28"/>
              <w:szCs w:val="32"/>
              <w:highlight w:val="none"/>
              <w14:textFill>
                <w14:solidFill>
                  <w14:schemeClr w14:val="tx1"/>
                </w14:solidFill>
              </w14:textFill>
            </w:rPr>
            <w:fldChar w:fldCharType="end"/>
          </w:r>
        </w:p>
      </w:sdtContent>
    </w:sdt>
    <w:p>
      <w:pPr>
        <w:keepNext w:val="0"/>
        <w:keepLines w:val="0"/>
        <w:pageBreakBefore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color w:val="000000" w:themeColor="text1"/>
          <w:sz w:val="44"/>
          <w:szCs w:val="44"/>
          <w:highlight w:val="none"/>
          <w14:textFill>
            <w14:solidFill>
              <w14:schemeClr w14:val="tx1"/>
            </w14:solidFill>
          </w14:textFill>
        </w:rPr>
        <w:sectPr>
          <w:footerReference r:id="rId4"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fmt="decimal" w:start="1"/>
          <w:cols w:space="425" w:num="1"/>
          <w:docGrid w:type="lines" w:linePitch="312" w:charSpace="0"/>
        </w:sectPr>
      </w:pPr>
      <w:r>
        <w:rPr>
          <w:rFonts w:hint="eastAsia" w:asciiTheme="minorEastAsia" w:hAnsiTheme="minorEastAsia" w:eastAsiaTheme="minorEastAsia" w:cstheme="minorEastAsia"/>
          <w:b/>
          <w:color w:val="000000" w:themeColor="text1"/>
          <w:sz w:val="48"/>
          <w:szCs w:val="48"/>
          <w:highlight w:val="none"/>
          <w14:textFill>
            <w14:solidFill>
              <w14:schemeClr w14:val="tx1"/>
            </w14:solidFill>
          </w14:textFill>
        </w:rPr>
        <w:br w:type="page"/>
      </w:r>
    </w:p>
    <w:p>
      <w:pPr>
        <w:pStyle w:val="2"/>
        <w:bidi w:val="0"/>
        <w:jc w:val="center"/>
        <w:rPr>
          <w:rFonts w:hint="eastAsia"/>
          <w:color w:val="000000" w:themeColor="text1"/>
          <w:highlight w:val="none"/>
          <w14:textFill>
            <w14:solidFill>
              <w14:schemeClr w14:val="tx1"/>
            </w14:solidFill>
          </w14:textFill>
        </w:rPr>
      </w:pPr>
      <w:bookmarkStart w:id="0" w:name="_Toc16900"/>
      <w:bookmarkStart w:id="1" w:name="_Toc8722"/>
      <w:r>
        <w:rPr>
          <w:rFonts w:hint="eastAsia"/>
          <w:color w:val="000000" w:themeColor="text1"/>
          <w:highlight w:val="none"/>
          <w14:textFill>
            <w14:solidFill>
              <w14:schemeClr w14:val="tx1"/>
            </w14:solidFill>
          </w14:textFill>
        </w:rPr>
        <w:t>前 言</w:t>
      </w:r>
      <w:bookmarkEnd w:id="0"/>
      <w:bookmarkEnd w:id="1"/>
    </w:p>
    <w:p>
      <w:pPr>
        <w:spacing w:line="360" w:lineRule="auto"/>
        <w:ind w:right="-334" w:rightChars="-159"/>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pPr>
    </w:p>
    <w:p>
      <w:pPr>
        <w:numPr>
          <w:ilvl w:val="0"/>
          <w:numId w:val="1"/>
        </w:numPr>
        <w:spacing w:line="360" w:lineRule="auto"/>
        <w:ind w:right="-334" w:rightChars="-159" w:firstLine="420" w:firstLineChars="0"/>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t>为</w:t>
      </w:r>
      <w:r>
        <w:rPr>
          <w:rFonts w:hint="eastAsia" w:ascii="仿宋_GB2312" w:hAnsi="仿宋_GB2312" w:eastAsia="仿宋_GB2312" w:cs="仿宋_GB2312"/>
          <w:bCs/>
          <w:color w:val="000000" w:themeColor="text1"/>
          <w:sz w:val="32"/>
          <w:szCs w:val="32"/>
          <w:highlight w:val="none"/>
          <w:lang w:val="en-GB" w:eastAsia="zh-CN"/>
          <w14:textFill>
            <w14:solidFill>
              <w14:schemeClr w14:val="tx1"/>
            </w14:solidFill>
          </w14:textFill>
        </w:rPr>
        <w:t>进一步</w:t>
      </w:r>
      <w:r>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t>完善</w:t>
      </w:r>
      <w:r>
        <w:rPr>
          <w:rFonts w:hint="eastAsia" w:ascii="仿宋_GB2312" w:hAnsi="仿宋_GB2312" w:eastAsia="仿宋_GB2312" w:cs="仿宋_GB2312"/>
          <w:bCs/>
          <w:color w:val="000000" w:themeColor="text1"/>
          <w:sz w:val="32"/>
          <w:szCs w:val="32"/>
          <w:highlight w:val="none"/>
          <w:lang w:val="en-GB" w:eastAsia="zh-CN"/>
          <w14:textFill>
            <w14:solidFill>
              <w14:schemeClr w14:val="tx1"/>
            </w14:solidFill>
          </w14:textFill>
        </w:rPr>
        <w:t>我市政府投资</w:t>
      </w:r>
      <w:r>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t>建设</w:t>
      </w:r>
      <w:r>
        <w:rPr>
          <w:rFonts w:hint="eastAsia" w:ascii="仿宋_GB2312" w:hAnsi="仿宋_GB2312" w:eastAsia="仿宋_GB2312" w:cs="仿宋_GB2312"/>
          <w:bCs/>
          <w:color w:val="000000" w:themeColor="text1"/>
          <w:sz w:val="32"/>
          <w:szCs w:val="32"/>
          <w:highlight w:val="none"/>
          <w:lang w:val="en-GB" w:eastAsia="zh-CN"/>
          <w14:textFill>
            <w14:solidFill>
              <w14:schemeClr w14:val="tx1"/>
            </w14:solidFill>
          </w14:textFill>
        </w:rPr>
        <w:t>项目</w:t>
      </w:r>
      <w:r>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t>工程技术服务</w:t>
      </w:r>
      <w:r>
        <w:rPr>
          <w:rFonts w:hint="eastAsia" w:ascii="仿宋_GB2312" w:hAnsi="仿宋_GB2312" w:eastAsia="仿宋_GB2312" w:cs="仿宋_GB2312"/>
          <w:bCs/>
          <w:color w:val="000000" w:themeColor="text1"/>
          <w:sz w:val="32"/>
          <w:szCs w:val="32"/>
          <w:highlight w:val="none"/>
          <w:lang w:val="en-GB" w:eastAsia="zh-CN"/>
          <w14:textFill>
            <w14:solidFill>
              <w14:schemeClr w14:val="tx1"/>
            </w14:solidFill>
          </w14:textFill>
        </w:rPr>
        <w:t>计</w:t>
      </w:r>
      <w:r>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t>费政策，提高服务</w:t>
      </w:r>
      <w:r>
        <w:rPr>
          <w:rFonts w:hint="eastAsia" w:ascii="仿宋_GB2312" w:hAnsi="仿宋_GB2312" w:eastAsia="仿宋_GB2312" w:cs="仿宋_GB2312"/>
          <w:bCs/>
          <w:color w:val="000000" w:themeColor="text1"/>
          <w:sz w:val="32"/>
          <w:szCs w:val="32"/>
          <w:highlight w:val="none"/>
          <w:lang w:val="en-GB" w:eastAsia="zh-CN"/>
          <w14:textFill>
            <w14:solidFill>
              <w14:schemeClr w14:val="tx1"/>
            </w14:solidFill>
          </w14:textFill>
        </w:rPr>
        <w:t>效率和</w:t>
      </w:r>
      <w:r>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t>水平，节约政府投资，保证服务质量，促进建设项目技术服务事业健康发展</w:t>
      </w:r>
      <w:r>
        <w:rPr>
          <w:rFonts w:hint="eastAsia" w:ascii="仿宋_GB2312" w:hAnsi="仿宋_GB2312" w:eastAsia="仿宋_GB2312" w:cs="仿宋_GB2312"/>
          <w:bCs/>
          <w:color w:val="000000" w:themeColor="text1"/>
          <w:sz w:val="32"/>
          <w:szCs w:val="32"/>
          <w:highlight w:val="none"/>
          <w:lang w:val="en-GB" w:eastAsia="zh-CN"/>
          <w14:textFill>
            <w14:solidFill>
              <w14:schemeClr w14:val="tx1"/>
            </w14:solidFill>
          </w14:textFill>
        </w:rPr>
        <w:t>，我中心</w:t>
      </w:r>
      <w:r>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t>通过对我市及</w:t>
      </w:r>
      <w:r>
        <w:rPr>
          <w:rFonts w:hint="eastAsia" w:ascii="仿宋_GB2312" w:hAnsi="仿宋_GB2312" w:eastAsia="仿宋_GB2312" w:cs="仿宋_GB2312"/>
          <w:bCs/>
          <w:color w:val="000000" w:themeColor="text1"/>
          <w:sz w:val="32"/>
          <w:szCs w:val="32"/>
          <w:highlight w:val="none"/>
          <w:lang w:val="en-GB" w:eastAsia="zh-CN"/>
          <w14:textFill>
            <w14:solidFill>
              <w14:schemeClr w14:val="tx1"/>
            </w14:solidFill>
          </w14:textFill>
        </w:rPr>
        <w:t>省内</w:t>
      </w:r>
      <w:r>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t>其他地区</w:t>
      </w:r>
      <w:r>
        <w:rPr>
          <w:rFonts w:hint="eastAsia" w:ascii="仿宋_GB2312" w:hAnsi="仿宋_GB2312" w:eastAsia="仿宋_GB2312" w:cs="仿宋_GB2312"/>
          <w:bCs/>
          <w:color w:val="000000" w:themeColor="text1"/>
          <w:sz w:val="32"/>
          <w:szCs w:val="32"/>
          <w:highlight w:val="none"/>
          <w:lang w:val="en-GB" w:eastAsia="zh-CN"/>
          <w14:textFill>
            <w14:solidFill>
              <w14:schemeClr w14:val="tx1"/>
            </w14:solidFill>
          </w14:textFill>
        </w:rPr>
        <w:t>的</w:t>
      </w:r>
      <w:r>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t>可研编制评估费、设计费等服务项目</w:t>
      </w:r>
      <w:r>
        <w:rPr>
          <w:rFonts w:hint="eastAsia" w:ascii="仿宋_GB2312" w:hAnsi="仿宋_GB2312" w:eastAsia="仿宋_GB2312" w:cs="仿宋_GB2312"/>
          <w:bCs/>
          <w:color w:val="000000" w:themeColor="text1"/>
          <w:sz w:val="32"/>
          <w:szCs w:val="32"/>
          <w:highlight w:val="none"/>
          <w:lang w:val="en-GB" w:eastAsia="zh-CN"/>
          <w14:textFill>
            <w14:solidFill>
              <w14:schemeClr w14:val="tx1"/>
            </w14:solidFill>
          </w14:textFill>
        </w:rPr>
        <w:t>付费水平的市场</w:t>
      </w:r>
      <w:r>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t>调研，结合政府平台公司、相关职能部门</w:t>
      </w:r>
      <w:r>
        <w:rPr>
          <w:rFonts w:hint="eastAsia" w:ascii="仿宋_GB2312" w:hAnsi="仿宋_GB2312" w:eastAsia="仿宋_GB2312" w:cs="仿宋_GB2312"/>
          <w:bCs/>
          <w:color w:val="000000" w:themeColor="text1"/>
          <w:sz w:val="32"/>
          <w:szCs w:val="32"/>
          <w:highlight w:val="none"/>
          <w:lang w:val="en-GB" w:eastAsia="zh-CN"/>
          <w14:textFill>
            <w14:solidFill>
              <w14:schemeClr w14:val="tx1"/>
            </w14:solidFill>
          </w14:textFill>
        </w:rPr>
        <w:t>的</w:t>
      </w:r>
      <w:r>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t>意见，特制定</w:t>
      </w:r>
      <w:r>
        <w:rPr>
          <w:rFonts w:hint="eastAsia" w:ascii="仿宋_GB2312" w:hAnsi="仿宋_GB2312" w:eastAsia="仿宋_GB2312" w:cs="仿宋_GB2312"/>
          <w:bCs/>
          <w:color w:val="000000" w:themeColor="text1"/>
          <w:sz w:val="32"/>
          <w:szCs w:val="32"/>
          <w:highlight w:val="none"/>
          <w:lang w:val="en-GB" w:eastAsia="zh-CN"/>
          <w14:textFill>
            <w14:solidFill>
              <w14:schemeClr w14:val="tx1"/>
            </w14:solidFill>
          </w14:textFill>
        </w:rPr>
        <w:t>本指南。</w:t>
      </w:r>
    </w:p>
    <w:p>
      <w:pPr>
        <w:numPr>
          <w:ilvl w:val="0"/>
          <w:numId w:val="1"/>
        </w:numPr>
        <w:spacing w:line="360" w:lineRule="auto"/>
        <w:ind w:left="0" w:leftChars="0" w:right="-334" w:rightChars="-159" w:firstLine="420" w:firstLineChars="0"/>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t>使用范围：本</w:t>
      </w:r>
      <w:r>
        <w:rPr>
          <w:rFonts w:hint="eastAsia" w:ascii="仿宋_GB2312" w:hAnsi="仿宋_GB2312" w:eastAsia="仿宋_GB2312" w:cs="仿宋_GB2312"/>
          <w:bCs/>
          <w:color w:val="000000" w:themeColor="text1"/>
          <w:sz w:val="32"/>
          <w:szCs w:val="32"/>
          <w:highlight w:val="none"/>
          <w:lang w:val="en-GB" w:eastAsia="zh-CN"/>
          <w14:textFill>
            <w14:solidFill>
              <w14:schemeClr w14:val="tx1"/>
            </w14:solidFill>
          </w14:textFill>
        </w:rPr>
        <w:t>指南</w:t>
      </w:r>
      <w:r>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t>明确</w:t>
      </w:r>
      <w:r>
        <w:rPr>
          <w:rFonts w:hint="eastAsia" w:ascii="仿宋_GB2312" w:hAnsi="仿宋_GB2312" w:eastAsia="仿宋_GB2312" w:cs="仿宋_GB2312"/>
          <w:bCs/>
          <w:color w:val="000000" w:themeColor="text1"/>
          <w:sz w:val="32"/>
          <w:szCs w:val="32"/>
          <w:highlight w:val="none"/>
          <w:lang w:val="en-GB" w:eastAsia="zh-CN"/>
          <w14:textFill>
            <w14:solidFill>
              <w14:schemeClr w14:val="tx1"/>
            </w14:solidFill>
          </w14:textFill>
        </w:rPr>
        <w:t>了工程建设</w:t>
      </w:r>
      <w:r>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t>其他费的收费范围、内涵、标准，</w:t>
      </w:r>
      <w:r>
        <w:rPr>
          <w:rFonts w:hint="eastAsia" w:ascii="仿宋_GB2312" w:hAnsi="仿宋_GB2312" w:eastAsia="仿宋_GB2312" w:cs="仿宋_GB2312"/>
          <w:bCs/>
          <w:color w:val="000000" w:themeColor="text1"/>
          <w:sz w:val="32"/>
          <w:szCs w:val="32"/>
          <w:highlight w:val="none"/>
          <w:lang w:val="en-GB" w:eastAsia="zh-CN"/>
          <w14:textFill>
            <w14:solidFill>
              <w14:schemeClr w14:val="tx1"/>
            </w14:solidFill>
          </w14:textFill>
        </w:rPr>
        <w:t>为</w:t>
      </w:r>
      <w:r>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t>我市</w:t>
      </w:r>
      <w:r>
        <w:rPr>
          <w:rFonts w:hint="eastAsia" w:ascii="仿宋_GB2312" w:hAnsi="仿宋_GB2312" w:eastAsia="仿宋_GB2312" w:cs="仿宋_GB2312"/>
          <w:bCs/>
          <w:color w:val="000000" w:themeColor="text1"/>
          <w:sz w:val="32"/>
          <w:szCs w:val="32"/>
          <w:highlight w:val="none"/>
          <w:lang w:val="en-GB" w:eastAsia="zh-CN"/>
          <w14:textFill>
            <w14:solidFill>
              <w14:schemeClr w14:val="tx1"/>
            </w14:solidFill>
          </w14:textFill>
        </w:rPr>
        <w:t>本级政府投资建设项目工程建设</w:t>
      </w:r>
      <w:r>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t>其他费用上限值</w:t>
      </w:r>
      <w:r>
        <w:rPr>
          <w:rFonts w:hint="eastAsia" w:ascii="仿宋_GB2312" w:hAnsi="仿宋_GB2312" w:eastAsia="仿宋_GB2312" w:cs="仿宋_GB2312"/>
          <w:bCs/>
          <w:color w:val="000000" w:themeColor="text1"/>
          <w:sz w:val="32"/>
          <w:szCs w:val="32"/>
          <w:highlight w:val="none"/>
          <w:lang w:val="en-GB" w:eastAsia="zh-CN"/>
          <w14:textFill>
            <w14:solidFill>
              <w14:schemeClr w14:val="tx1"/>
            </w14:solidFill>
          </w14:textFill>
        </w:rPr>
        <w:t>提供了</w:t>
      </w:r>
      <w:r>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t>依据，也</w:t>
      </w:r>
      <w:r>
        <w:rPr>
          <w:rFonts w:hint="eastAsia" w:ascii="仿宋_GB2312" w:hAnsi="仿宋_GB2312" w:eastAsia="仿宋_GB2312" w:cs="仿宋_GB2312"/>
          <w:bCs/>
          <w:color w:val="000000" w:themeColor="text1"/>
          <w:sz w:val="32"/>
          <w:szCs w:val="32"/>
          <w:highlight w:val="none"/>
          <w:lang w:val="en-GB" w:eastAsia="zh-CN"/>
          <w14:textFill>
            <w14:solidFill>
              <w14:schemeClr w14:val="tx1"/>
            </w14:solidFill>
          </w14:textFill>
        </w:rPr>
        <w:t>可</w:t>
      </w:r>
      <w:r>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t>作为</w:t>
      </w:r>
      <w:r>
        <w:rPr>
          <w:rFonts w:hint="eastAsia" w:ascii="仿宋_GB2312" w:hAnsi="仿宋_GB2312" w:eastAsia="仿宋_GB2312" w:cs="仿宋_GB2312"/>
          <w:bCs/>
          <w:color w:val="000000" w:themeColor="text1"/>
          <w:sz w:val="32"/>
          <w:szCs w:val="32"/>
          <w:highlight w:val="none"/>
          <w:lang w:val="en-GB" w:eastAsia="zh-CN"/>
          <w14:textFill>
            <w14:solidFill>
              <w14:schemeClr w14:val="tx1"/>
            </w14:solidFill>
          </w14:textFill>
        </w:rPr>
        <w:t>对应</w:t>
      </w:r>
      <w:r>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t>费用的结算参考依据。</w:t>
      </w:r>
    </w:p>
    <w:p>
      <w:pPr>
        <w:numPr>
          <w:ilvl w:val="0"/>
          <w:numId w:val="1"/>
        </w:numPr>
        <w:spacing w:line="360" w:lineRule="auto"/>
        <w:ind w:left="0" w:right="-334" w:rightChars="-159" w:firstLine="42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《工程建设其他费用</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计费指南</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（试行）》主要针对长沙市</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本级</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范围内常见类型建设工程进行编制，主要包括：房屋建筑工程、市政道路工程、桥梁隧道工程、市政公用工程、园林绿化工程、城市轨道工程</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等，信息化工程除外</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p>
    <w:p>
      <w:pPr>
        <w:numPr>
          <w:ilvl w:val="0"/>
          <w:numId w:val="1"/>
        </w:numPr>
        <w:spacing w:line="360" w:lineRule="auto"/>
        <w:ind w:left="0" w:right="-334" w:rightChars="-159" w:firstLine="42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t>各</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建设单位（委托方）</w:t>
      </w:r>
      <w:r>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t>应坚持自愿、诚信、公平、公正和委托方付费的原则，严格执行国家和行业技术规范，签订委托协议，依约提供服务方可</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计</w:t>
      </w:r>
      <w:r>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t>费。不具备</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相关</w:t>
      </w:r>
      <w:r>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t>资质</w:t>
      </w:r>
      <w:r>
        <w:rPr>
          <w:rFonts w:hint="eastAsia" w:ascii="仿宋_GB2312" w:hAnsi="仿宋_GB2312" w:eastAsia="仿宋_GB2312" w:cs="仿宋_GB2312"/>
          <w:bCs/>
          <w:color w:val="000000" w:themeColor="text1"/>
          <w:sz w:val="32"/>
          <w:szCs w:val="32"/>
          <w:highlight w:val="none"/>
          <w:lang w:val="en-GB"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t>未签订服务协议或未提供协议规定的服务均不得</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计</w:t>
      </w:r>
      <w:r>
        <w:rPr>
          <w:rFonts w:hint="eastAsia" w:ascii="仿宋_GB2312" w:hAnsi="仿宋_GB2312" w:eastAsia="仿宋_GB2312" w:cs="仿宋_GB2312"/>
          <w:bCs/>
          <w:color w:val="000000" w:themeColor="text1"/>
          <w:sz w:val="32"/>
          <w:szCs w:val="32"/>
          <w:highlight w:val="none"/>
          <w:lang w:val="en-GB"/>
          <w14:textFill>
            <w14:solidFill>
              <w14:schemeClr w14:val="tx1"/>
            </w14:solidFill>
          </w14:textFill>
        </w:rPr>
        <w:t>费。</w:t>
      </w:r>
    </w:p>
    <w:p>
      <w:pPr>
        <w:numPr>
          <w:ilvl w:val="0"/>
          <w:numId w:val="1"/>
        </w:numPr>
        <w:spacing w:line="360" w:lineRule="auto"/>
        <w:ind w:left="0" w:leftChars="0" w:right="-334" w:rightChars="-159" w:firstLine="420" w:firstLineChars="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GB" w:eastAsia="zh-CN"/>
          <w14:textFill>
            <w14:solidFill>
              <w14:schemeClr w14:val="tx1"/>
            </w14:solidFill>
          </w14:textFill>
        </w:rPr>
        <w:t>服务合同价格确定方式：</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《工程建设其他费用</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计费指南</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（试行）》为基准价格（最高限价），具体金额通过</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公开</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招投标或政府采购的方式确定，金额未达到政府采购</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限额标准</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的服务项目，由服务单位和</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建设单位（</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委托方</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依据本</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指南</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协商确定</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，但不得高于本计费标准</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w:t>
      </w:r>
    </w:p>
    <w:p>
      <w:pPr>
        <w:numPr>
          <w:ilvl w:val="0"/>
          <w:numId w:val="1"/>
        </w:numPr>
        <w:spacing w:line="360" w:lineRule="auto"/>
        <w:ind w:left="0" w:leftChars="0" w:right="-334" w:rightChars="-159" w:firstLine="420" w:firstLineChars="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《工程建设其他费用</w:t>
      </w: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计费指南</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（试行）》自20</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20</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月</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bCs/>
          <w:color w:val="000000" w:themeColor="text1"/>
          <w:sz w:val="32"/>
          <w:szCs w:val="32"/>
          <w:highlight w:val="none"/>
          <w14:textFill>
            <w14:solidFill>
              <w14:schemeClr w14:val="tx1"/>
            </w14:solidFill>
          </w14:textFill>
        </w:rPr>
        <w:t>日期实施。</w:t>
      </w:r>
    </w:p>
    <w:p>
      <w:pPr>
        <w:numPr>
          <w:ilvl w:val="0"/>
          <w:numId w:val="1"/>
        </w:numPr>
        <w:spacing w:line="360" w:lineRule="auto"/>
        <w:ind w:left="0" w:leftChars="0" w:right="-334" w:rightChars="-159" w:firstLine="420" w:firstLineChars="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t>本指南最终由长沙市财政评审中心解释。</w:t>
      </w:r>
    </w:p>
    <w:p>
      <w:pPr>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eastAsia="zh-CN"/>
          <w14:textFill>
            <w14:solidFill>
              <w14:schemeClr w14:val="tx1"/>
            </w14:solidFill>
          </w14:textFill>
        </w:rPr>
        <w:br w:type="page"/>
      </w:r>
    </w:p>
    <w:p>
      <w:pPr>
        <w:pStyle w:val="2"/>
        <w:bidi w:val="0"/>
        <w:jc w:val="center"/>
        <w:rPr>
          <w:rFonts w:hint="eastAsia"/>
          <w:color w:val="000000" w:themeColor="text1"/>
          <w:sz w:val="36"/>
          <w:szCs w:val="36"/>
          <w:highlight w:val="none"/>
          <w:lang w:val="en-US" w:eastAsia="zh-CN"/>
          <w14:textFill>
            <w14:solidFill>
              <w14:schemeClr w14:val="tx1"/>
            </w14:solidFill>
          </w14:textFill>
        </w:rPr>
      </w:pPr>
      <w:bookmarkStart w:id="2" w:name="_Toc15100"/>
      <w:r>
        <w:rPr>
          <w:rFonts w:hint="eastAsia"/>
          <w:color w:val="000000" w:themeColor="text1"/>
          <w:sz w:val="36"/>
          <w:szCs w:val="36"/>
          <w:highlight w:val="none"/>
          <w:lang w:val="en-US" w:eastAsia="zh-CN"/>
          <w14:textFill>
            <w14:solidFill>
              <w14:schemeClr w14:val="tx1"/>
            </w14:solidFill>
          </w14:textFill>
        </w:rPr>
        <w:t>第一章  工程项目建议书、可研报告编制评估费</w:t>
      </w:r>
      <w:bookmarkEnd w:id="2"/>
    </w:p>
    <w:p>
      <w:pPr>
        <w:ind w:firstLine="4337" w:firstLineChars="1200"/>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pPr>
    </w:p>
    <w:p>
      <w:pPr>
        <w:numPr>
          <w:ilvl w:val="0"/>
          <w:numId w:val="2"/>
        </w:numPr>
        <w:ind w:left="0" w:leftChars="0" w:firstLine="420" w:firstLineChars="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工作内容</w:t>
      </w:r>
      <w:r>
        <w:rPr>
          <w:rFonts w:hint="eastAsia" w:asciiTheme="minorEastAsia" w:hAnsiTheme="minorEastAsia" w:cstheme="minorEastAsia"/>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包括编制、评估项目项目建议书和可行性研究报告</w:t>
      </w:r>
      <w:r>
        <w:rPr>
          <w:rFonts w:hint="eastAsia" w:asciiTheme="minorEastAsia" w:hAnsiTheme="minorEastAsia" w:eastAsiaTheme="minorEastAsia" w:cstheme="minorEastAsia"/>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服务单位编制的成果文件应符合发改部门要求，须具备项目</w:t>
      </w: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投资必要性、技术可行性、财务可行性、组织可行性、经济可行性、社会可行性、风险因素及对策</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等内容，并获得发改部门批复文件。</w:t>
      </w:r>
    </w:p>
    <w:p>
      <w:pPr>
        <w:numPr>
          <w:ilvl w:val="0"/>
          <w:numId w:val="2"/>
        </w:numPr>
        <w:ind w:left="0" w:leftChars="0" w:firstLine="420" w:firstLineChars="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适用范围：本市政府投资建设项目的项目建议书、可研报告编制评估费上限值及相关费用的结算可参考本标准</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w:t>
      </w:r>
    </w:p>
    <w:p>
      <w:pPr>
        <w:numPr>
          <w:ilvl w:val="0"/>
          <w:numId w:val="2"/>
        </w:numPr>
        <w:ind w:left="0" w:leftChars="0" w:firstLine="42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计费标准：</w:t>
      </w:r>
    </w:p>
    <w:p>
      <w:pPr>
        <w:numPr>
          <w:ilvl w:val="0"/>
          <w:numId w:val="0"/>
        </w:numPr>
        <w:ind w:firstLine="560" w:firstLineChars="20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根据不同工程咨询项目的性质、内容、采取以下方法计取费用：</w:t>
      </w:r>
    </w:p>
    <w:p>
      <w:pPr>
        <w:numPr>
          <w:ilvl w:val="0"/>
          <w:numId w:val="3"/>
        </w:numPr>
        <w:ind w:left="0" w:leftChars="0" w:firstLine="420" w:firstLineChars="15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按建设项目估算投资额，分档计算工程咨询费用（见</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表1、2</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 xml:space="preserve">）。 </w:t>
      </w:r>
    </w:p>
    <w:p>
      <w:pPr>
        <w:numPr>
          <w:ilvl w:val="0"/>
          <w:numId w:val="3"/>
        </w:numPr>
        <w:ind w:left="0" w:leftChars="0" w:firstLine="420" w:firstLineChars="15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计费基数为批复的估算投资额，工程咨询机构在取得批复文件前，重复所做的工作量不另行计费。</w:t>
      </w:r>
    </w:p>
    <w:p>
      <w:pPr>
        <w:numPr>
          <w:ilvl w:val="0"/>
          <w:numId w:val="3"/>
        </w:numPr>
        <w:ind w:left="0" w:leftChars="0" w:firstLine="420" w:firstLineChars="15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估算投资额在设定级差之间时，按直线内插法计算。</w:t>
      </w:r>
    </w:p>
    <w:p>
      <w:pPr>
        <w:numPr>
          <w:ilvl w:val="0"/>
          <w:numId w:val="2"/>
        </w:numPr>
        <w:ind w:left="0" w:leftChars="0" w:firstLine="42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相关说明</w:t>
      </w:r>
    </w:p>
    <w:p>
      <w:pPr>
        <w:numPr>
          <w:ilvl w:val="0"/>
          <w:numId w:val="4"/>
        </w:numPr>
        <w:ind w:left="0" w:leftChars="0" w:firstLine="560" w:firstLineChars="20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工程咨询机构在编制项目建议书或者可行性研究报告时需要勘察、试验，评估项目建议书或者可行性研究报告时需要对勘察、试验数据进行复核，工作量明显增加需要增加费用的，由双方另行协商计取的费用额和支付方式。</w:t>
      </w:r>
    </w:p>
    <w:p>
      <w:pPr>
        <w:pStyle w:val="22"/>
        <w:numPr>
          <w:ilvl w:val="0"/>
          <w:numId w:val="4"/>
        </w:numPr>
        <w:ind w:left="0" w:leftChars="0" w:firstLine="560" w:firstLineChars="200"/>
        <w:jc w:val="left"/>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工程咨询服务中，工程咨询机构提供自有专利、专有技术，需要另行支付费用的，国家有规定的，按规定执行；没有规定的，由双方协商费用额和支付方式。</w:t>
      </w:r>
    </w:p>
    <w:p>
      <w:pPr>
        <w:pStyle w:val="22"/>
        <w:numPr>
          <w:ilvl w:val="0"/>
          <w:numId w:val="4"/>
        </w:numPr>
        <w:ind w:left="0" w:leftChars="0" w:firstLine="560" w:firstLineChars="200"/>
        <w:jc w:val="left"/>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工程咨询机构按合同收取咨询费用后，不得再要求委托方无偿提供食宿、交通等便利。</w:t>
      </w:r>
    </w:p>
    <w:p>
      <w:pPr>
        <w:pStyle w:val="22"/>
        <w:numPr>
          <w:ilvl w:val="0"/>
          <w:numId w:val="4"/>
        </w:numPr>
        <w:ind w:left="0" w:leftChars="0" w:firstLine="560" w:firstLineChars="200"/>
        <w:jc w:val="left"/>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工程咨询机构提交的咨询成果达不到合同规定标准的，应负责完善，委托方不另支付咨询费。</w:t>
      </w:r>
    </w:p>
    <w:p>
      <w:pPr>
        <w:pStyle w:val="22"/>
        <w:ind w:left="720" w:firstLine="0" w:firstLineChars="0"/>
        <w:jc w:val="left"/>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pPr>
    </w:p>
    <w:p>
      <w:pPr>
        <w:jc w:val="left"/>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sectPr>
          <w:footerReference r:id="rId5" w:type="default"/>
          <w:pgSz w:w="11906" w:h="16838"/>
          <w:pgMar w:top="1440" w:right="1800" w:bottom="1440" w:left="1800" w:header="851" w:footer="992" w:gutter="0"/>
          <w:pgBorders w:offsetFrom="page">
            <w:top w:val="none" w:sz="0" w:space="0"/>
            <w:left w:val="none" w:sz="0" w:space="0"/>
            <w:bottom w:val="none" w:sz="0" w:space="0"/>
            <w:right w:val="none" w:sz="0" w:space="0"/>
          </w:pgBorders>
          <w:pgNumType w:fmt="decimal" w:start="1"/>
          <w:cols w:space="425" w:num="1"/>
          <w:docGrid w:type="lines" w:linePitch="312" w:charSpace="0"/>
        </w:sectPr>
      </w:pPr>
    </w:p>
    <w:p>
      <w:pPr>
        <w:ind w:firstLine="723" w:firstLineChars="300"/>
        <w:jc w:val="both"/>
        <w:rPr>
          <w:rFonts w:hint="eastAsia" w:asciiTheme="minorEastAsia" w:hAnsiTheme="minorEastAsia" w:eastAsiaTheme="minorEastAsia" w:cstheme="minorEastAsia"/>
          <w:b/>
          <w:bCs/>
          <w:color w:val="000000" w:themeColor="text1"/>
          <w:sz w:val="28"/>
          <w:szCs w:val="28"/>
          <w:highlight w:val="none"/>
          <w:lang w:val="en-GB"/>
          <w14:textFill>
            <w14:solidFill>
              <w14:schemeClr w14:val="tx1"/>
            </w14:solidFill>
          </w14:textFill>
        </w:rPr>
      </w:pPr>
      <w:r>
        <w:rPr>
          <w:rFonts w:hint="eastAsia" w:asciiTheme="minorEastAsia" w:hAnsiTheme="minorEastAsia" w:cstheme="minorEastAsia"/>
          <w:b/>
          <w:bCs/>
          <w:color w:val="000000" w:themeColor="text1"/>
          <w:sz w:val="24"/>
          <w:szCs w:val="24"/>
          <w:highlight w:val="none"/>
          <w:lang w:val="en-US" w:eastAsia="zh-CN"/>
          <w14:textFill>
            <w14:solidFill>
              <w14:schemeClr w14:val="tx1"/>
            </w14:solidFill>
          </w14:textFill>
        </w:rPr>
        <w:t>附</w:t>
      </w:r>
      <w:r>
        <w:rPr>
          <w:rFonts w:hint="eastAsia" w:asciiTheme="minorEastAsia" w:hAnsiTheme="minorEastAsia" w:eastAsiaTheme="minorEastAsia" w:cstheme="minorEastAsia"/>
          <w:b/>
          <w:bCs/>
          <w:color w:val="000000" w:themeColor="text1"/>
          <w:sz w:val="24"/>
          <w:szCs w:val="24"/>
          <w:highlight w:val="none"/>
          <w:lang w:val="en-GB"/>
          <w14:textFill>
            <w14:solidFill>
              <w14:schemeClr w14:val="tx1"/>
            </w14:solidFill>
          </w14:textFill>
        </w:rPr>
        <w:t>表</w:t>
      </w: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 xml:space="preserve">1    </w:t>
      </w:r>
      <w:r>
        <w:rPr>
          <w:rFonts w:hint="eastAsia" w:asciiTheme="minorEastAsia" w:hAnsiTheme="minorEastAsia" w:cstheme="minorEastAsia"/>
          <w:b/>
          <w:bCs/>
          <w:color w:val="000000" w:themeColor="text1"/>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4"/>
          <w:szCs w:val="24"/>
          <w:highlight w:val="none"/>
          <w:lang w:val="en-GB"/>
          <w14:textFill>
            <w14:solidFill>
              <w14:schemeClr w14:val="tx1"/>
            </w14:solidFill>
          </w14:textFill>
        </w:rPr>
        <w:t>按建设项目估算投资额分档</w:t>
      </w:r>
      <w:r>
        <w:rPr>
          <w:rFonts w:hint="eastAsia" w:asciiTheme="minorEastAsia" w:hAnsiTheme="minorEastAsia" w:eastAsiaTheme="minorEastAsia" w:cstheme="minorEastAsia"/>
          <w:bCs/>
          <w:color w:val="000000" w:themeColor="text1"/>
          <w:kern w:val="2"/>
          <w:sz w:val="24"/>
          <w:szCs w:val="24"/>
          <w:highlight w:val="none"/>
          <w:lang w:val="en-US" w:eastAsia="zh-CN"/>
          <w14:textFill>
            <w14:solidFill>
              <w14:schemeClr w14:val="tx1"/>
            </w14:solidFill>
          </w14:textFill>
        </w:rPr>
        <w:t>计</w:t>
      </w:r>
      <w:r>
        <w:rPr>
          <w:rFonts w:hint="eastAsia" w:asciiTheme="minorEastAsia" w:hAnsiTheme="minorEastAsia" w:eastAsiaTheme="minorEastAsia" w:cstheme="minorEastAsia"/>
          <w:b/>
          <w:bCs/>
          <w:color w:val="000000" w:themeColor="text1"/>
          <w:sz w:val="24"/>
          <w:szCs w:val="24"/>
          <w:highlight w:val="none"/>
          <w:lang w:val="en-GB"/>
          <w14:textFill>
            <w14:solidFill>
              <w14:schemeClr w14:val="tx1"/>
            </w14:solidFill>
          </w14:textFill>
        </w:rPr>
        <w:t>费标准</w:t>
      </w:r>
    </w:p>
    <w:p>
      <w:pPr>
        <w:ind w:right="420"/>
        <w:jc w:val="right"/>
        <w:rPr>
          <w:rFonts w:hint="eastAsia" w:asciiTheme="minorEastAsia" w:hAnsiTheme="minorEastAsia" w:eastAsiaTheme="minorEastAsia" w:cstheme="minorEastAsia"/>
          <w:bCs/>
          <w:color w:val="000000" w:themeColor="text1"/>
          <w:szCs w:val="21"/>
          <w:highlight w:val="none"/>
          <w:lang w:val="en-GB"/>
          <w14:textFill>
            <w14:solidFill>
              <w14:schemeClr w14:val="tx1"/>
            </w14:solidFill>
          </w14:textFill>
        </w:rPr>
      </w:pPr>
      <w:r>
        <w:rPr>
          <w:rFonts w:hint="eastAsia" w:asciiTheme="minorEastAsia" w:hAnsiTheme="minorEastAsia" w:eastAsiaTheme="minorEastAsia" w:cstheme="minorEastAsia"/>
          <w:bCs/>
          <w:color w:val="000000" w:themeColor="text1"/>
          <w:szCs w:val="21"/>
          <w:highlight w:val="none"/>
          <w:lang w:val="en-GB"/>
          <w14:textFill>
            <w14:solidFill>
              <w14:schemeClr w14:val="tx1"/>
            </w14:solidFill>
          </w14:textFill>
        </w:rPr>
        <w:t>单位：万元</w:t>
      </w:r>
    </w:p>
    <w:p>
      <w:pPr>
        <w:pStyle w:val="22"/>
        <w:ind w:left="1440" w:firstLine="2940" w:firstLineChars="1400"/>
        <w:jc w:val="left"/>
        <w:rPr>
          <w:rFonts w:hint="eastAsia" w:asciiTheme="minorEastAsia" w:hAnsiTheme="minorEastAsia" w:eastAsiaTheme="minorEastAsia" w:cstheme="minorEastAsia"/>
          <w:bCs/>
          <w:color w:val="000000" w:themeColor="text1"/>
          <w:szCs w:val="21"/>
          <w:highlight w:val="none"/>
          <w:lang w:val="en-GB"/>
          <w14:textFill>
            <w14:solidFill>
              <w14:schemeClr w14:val="tx1"/>
            </w14:solidFill>
          </w14:textFill>
        </w:rPr>
      </w:pPr>
    </w:p>
    <w:tbl>
      <w:tblPr>
        <w:tblStyle w:val="11"/>
        <w:tblW w:w="13988" w:type="dxa"/>
        <w:tblInd w:w="0" w:type="dxa"/>
        <w:shd w:val="clear" w:color="auto" w:fill="auto"/>
        <w:tblLayout w:type="fixed"/>
        <w:tblCellMar>
          <w:top w:w="0" w:type="dxa"/>
          <w:left w:w="0" w:type="dxa"/>
          <w:bottom w:w="0" w:type="dxa"/>
          <w:right w:w="0" w:type="dxa"/>
        </w:tblCellMar>
      </w:tblPr>
      <w:tblGrid>
        <w:gridCol w:w="1417"/>
        <w:gridCol w:w="995"/>
        <w:gridCol w:w="1459"/>
        <w:gridCol w:w="1418"/>
        <w:gridCol w:w="1337"/>
        <w:gridCol w:w="1582"/>
        <w:gridCol w:w="1472"/>
        <w:gridCol w:w="1623"/>
        <w:gridCol w:w="1650"/>
        <w:gridCol w:w="1035"/>
      </w:tblGrid>
      <w:tr>
        <w:tblPrEx>
          <w:shd w:val="clear" w:color="auto" w:fill="auto"/>
          <w:tblLayout w:type="fixed"/>
          <w:tblCellMar>
            <w:top w:w="0" w:type="dxa"/>
            <w:left w:w="0" w:type="dxa"/>
            <w:bottom w:w="0" w:type="dxa"/>
            <w:right w:w="0" w:type="dxa"/>
          </w:tblCellMar>
        </w:tblPrEx>
        <w:trPr>
          <w:trHeight w:val="400" w:hRule="atLeast"/>
        </w:trPr>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2000万元以下</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2000万元~5000万元</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5000万元~1亿元</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1亿元~5亿元</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5亿元~10亿元</w:t>
            </w: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10亿元~50亿元</w:t>
            </w:r>
          </w:p>
        </w:tc>
        <w:tc>
          <w:tcPr>
            <w:tcW w:w="1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50亿元~150亿元</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150亿~300亿元</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300亿以上</w:t>
            </w:r>
          </w:p>
        </w:tc>
      </w:tr>
      <w:tr>
        <w:tblPrEx>
          <w:tblLayout w:type="fixed"/>
          <w:tblCellMar>
            <w:top w:w="0" w:type="dxa"/>
            <w:left w:w="0" w:type="dxa"/>
            <w:bottom w:w="0" w:type="dxa"/>
            <w:right w:w="0" w:type="dxa"/>
          </w:tblCellMar>
        </w:tblPrEx>
        <w:trPr>
          <w:trHeight w:val="400" w:hRule="atLeast"/>
        </w:trPr>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编制可行性研究报告</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4.48</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4.48~11.60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11.60~19.60</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19.60~44.63</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44.63~61.60</w:t>
            </w: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61.60~105.00</w:t>
            </w:r>
          </w:p>
        </w:tc>
        <w:tc>
          <w:tcPr>
            <w:tcW w:w="1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105.00~150.00</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150.00~220.00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lang w:val="en-US"/>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220.00</w:t>
            </w:r>
          </w:p>
        </w:tc>
      </w:tr>
      <w:tr>
        <w:tblPrEx>
          <w:tblLayout w:type="fixed"/>
          <w:tblCellMar>
            <w:top w:w="0" w:type="dxa"/>
            <w:left w:w="0" w:type="dxa"/>
            <w:bottom w:w="0" w:type="dxa"/>
            <w:right w:w="0" w:type="dxa"/>
          </w:tblCellMar>
        </w:tblPrEx>
        <w:trPr>
          <w:trHeight w:val="400" w:hRule="atLeast"/>
        </w:trPr>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编制项目建议书</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3.24</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3.24~5.80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5.80~9.80</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9.80~22.02</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22.02~30.80</w:t>
            </w: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30.80~52.50</w:t>
            </w:r>
          </w:p>
        </w:tc>
        <w:tc>
          <w:tcPr>
            <w:tcW w:w="1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52.50~65.63</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65.63~96.25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96.25</w:t>
            </w:r>
          </w:p>
        </w:tc>
      </w:tr>
      <w:tr>
        <w:tblPrEx>
          <w:tblLayout w:type="fixed"/>
          <w:tblCellMar>
            <w:top w:w="0" w:type="dxa"/>
            <w:left w:w="0" w:type="dxa"/>
            <w:bottom w:w="0" w:type="dxa"/>
            <w:right w:w="0" w:type="dxa"/>
          </w:tblCellMar>
        </w:tblPrEx>
        <w:trPr>
          <w:trHeight w:val="400" w:hRule="atLeast"/>
        </w:trPr>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评估可行性研究报告</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3.05</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3.05~4.50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4.50~7.00</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7.00~8.93</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8.93~11.20</w:t>
            </w: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11.20~13.13</w:t>
            </w:r>
          </w:p>
        </w:tc>
        <w:tc>
          <w:tcPr>
            <w:tcW w:w="1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13.13~18.38</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18.38~26.95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26.95</w:t>
            </w:r>
          </w:p>
        </w:tc>
      </w:tr>
      <w:tr>
        <w:tblPrEx>
          <w:shd w:val="clear" w:color="auto" w:fill="auto"/>
          <w:tblLayout w:type="fixed"/>
          <w:tblCellMar>
            <w:top w:w="0" w:type="dxa"/>
            <w:left w:w="0" w:type="dxa"/>
            <w:bottom w:w="0" w:type="dxa"/>
            <w:right w:w="0" w:type="dxa"/>
          </w:tblCellMar>
        </w:tblPrEx>
        <w:trPr>
          <w:trHeight w:val="400" w:hRule="atLeast"/>
        </w:trPr>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评估项目建议书</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lang w:val="en-US"/>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1.50</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1.50~3.60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3.60~5.60</w:t>
            </w:r>
          </w:p>
        </w:tc>
        <w:tc>
          <w:tcPr>
            <w:tcW w:w="13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5.60~7.14</w:t>
            </w:r>
          </w:p>
        </w:tc>
        <w:tc>
          <w:tcPr>
            <w:tcW w:w="15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7.14~8.40</w:t>
            </w: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8.40~8.93</w:t>
            </w:r>
          </w:p>
        </w:tc>
        <w:tc>
          <w:tcPr>
            <w:tcW w:w="16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8.93~10.50</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10.50~~15.40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lang w:val="en-US"/>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15.40</w:t>
            </w:r>
          </w:p>
        </w:tc>
      </w:tr>
    </w:tbl>
    <w:p>
      <w:pPr>
        <w:pStyle w:val="22"/>
        <w:ind w:left="720" w:firstLine="0" w:firstLineChars="0"/>
        <w:jc w:val="left"/>
        <w:rPr>
          <w:rFonts w:hint="eastAsia" w:asciiTheme="minorEastAsia" w:hAnsiTheme="minorEastAsia" w:eastAsiaTheme="minorEastAsia" w:cstheme="minorEastAsia"/>
          <w:bCs/>
          <w:color w:val="000000" w:themeColor="text1"/>
          <w:sz w:val="24"/>
          <w:szCs w:val="24"/>
          <w:highlight w:val="none"/>
          <w:lang w:val="en-GB"/>
          <w14:textFill>
            <w14:solidFill>
              <w14:schemeClr w14:val="tx1"/>
            </w14:solidFill>
          </w14:textFill>
        </w:rPr>
      </w:pPr>
    </w:p>
    <w:p>
      <w:pPr>
        <w:pStyle w:val="22"/>
        <w:ind w:left="720" w:firstLine="0" w:firstLineChars="0"/>
        <w:jc w:val="left"/>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GB"/>
          <w14:textFill>
            <w14:solidFill>
              <w14:schemeClr w14:val="tx1"/>
            </w14:solidFill>
          </w14:textFill>
        </w:rPr>
        <w:t>注</w:t>
      </w:r>
      <w:r>
        <w:rPr>
          <w:rFonts w:hint="eastAsia" w:asciiTheme="minorEastAsia" w:hAnsiTheme="minorEastAsia" w:eastAsiaTheme="minorEastAsia" w:cstheme="minorEastAsia"/>
          <w:b w:val="0"/>
          <w:bCs/>
          <w:color w:val="000000" w:themeColor="text1"/>
          <w:sz w:val="24"/>
          <w:szCs w:val="24"/>
          <w:highlight w:val="none"/>
          <w:lang w:val="en-GB"/>
          <w14:textFill>
            <w14:solidFill>
              <w14:schemeClr w14:val="tx1"/>
            </w14:solidFill>
          </w14:textFill>
        </w:rPr>
        <w:t>：</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1、</w:t>
      </w:r>
      <w:r>
        <w:rPr>
          <w:rFonts w:hint="eastAsia"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t>计</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费标准计费基数为批复的估算投资额</w:t>
      </w:r>
    </w:p>
    <w:p>
      <w:pPr>
        <w:pStyle w:val="22"/>
        <w:ind w:left="720" w:firstLine="480"/>
        <w:jc w:val="left"/>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2、</w:t>
      </w:r>
      <w:r>
        <w:rPr>
          <w:rFonts w:hint="eastAsia"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t>计</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费内容</w:t>
      </w:r>
      <w:r>
        <w:rPr>
          <w:rFonts w:hint="eastAsia"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t>应</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包括</w:t>
      </w:r>
      <w:r>
        <w:rPr>
          <w:rFonts w:hint="eastAsia"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t>前期</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方案设计，当方案另行委托时，编制费用系数取0.5</w:t>
      </w:r>
    </w:p>
    <w:p>
      <w:pPr>
        <w:pStyle w:val="22"/>
        <w:ind w:left="720" w:firstLine="480"/>
        <w:jc w:val="left"/>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3、可研与设计</w:t>
      </w:r>
      <w:r>
        <w:rPr>
          <w:rFonts w:hint="eastAsia"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t>同时委托同一服务单位</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时，</w:t>
      </w:r>
      <w:r>
        <w:rPr>
          <w:rFonts w:hint="eastAsia"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t>可研编制</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费用系数取0.8</w:t>
      </w:r>
    </w:p>
    <w:p>
      <w:pPr>
        <w:pStyle w:val="22"/>
        <w:ind w:left="720" w:firstLine="480"/>
        <w:jc w:val="left"/>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4、</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根据行业特点，计算咨询费用时乘以行业调整系数（见</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下表）</w:t>
      </w:r>
    </w:p>
    <w:p>
      <w:pPr>
        <w:jc w:val="left"/>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p>
    <w:p>
      <w:pPr>
        <w:jc w:val="left"/>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sectPr>
          <w:pgSz w:w="16838" w:h="11906" w:orient="landscape"/>
          <w:pgMar w:top="1800" w:right="1440" w:bottom="1800" w:left="144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 xml:space="preserve">                                                                                         </w:t>
      </w:r>
    </w:p>
    <w:tbl>
      <w:tblPr>
        <w:tblStyle w:val="11"/>
        <w:tblW w:w="8336" w:type="dxa"/>
        <w:tblInd w:w="0" w:type="dxa"/>
        <w:tblLayout w:type="fixed"/>
        <w:tblCellMar>
          <w:top w:w="15" w:type="dxa"/>
          <w:left w:w="15" w:type="dxa"/>
          <w:bottom w:w="15" w:type="dxa"/>
          <w:right w:w="15" w:type="dxa"/>
        </w:tblCellMar>
      </w:tblPr>
      <w:tblGrid>
        <w:gridCol w:w="399"/>
        <w:gridCol w:w="5914"/>
        <w:gridCol w:w="2023"/>
      </w:tblGrid>
      <w:tr>
        <w:tblPrEx>
          <w:tblLayout w:type="fixed"/>
          <w:tblCellMar>
            <w:top w:w="15" w:type="dxa"/>
            <w:left w:w="15" w:type="dxa"/>
            <w:bottom w:w="15" w:type="dxa"/>
            <w:right w:w="15" w:type="dxa"/>
          </w:tblCellMar>
        </w:tblPrEx>
        <w:trPr>
          <w:trHeight w:val="435" w:hRule="atLeast"/>
        </w:trPr>
        <w:tc>
          <w:tcPr>
            <w:tcW w:w="8336" w:type="dxa"/>
            <w:gridSpan w:val="3"/>
            <w:shd w:val="clear" w:color="auto" w:fill="auto"/>
            <w:vAlign w:val="center"/>
          </w:tcPr>
          <w:p>
            <w:pPr>
              <w:widowControl/>
              <w:jc w:val="both"/>
              <w:textAlignment w:val="center"/>
              <w:rPr>
                <w:rFonts w:hint="eastAsia" w:asciiTheme="minorEastAsia" w:hAnsiTheme="minorEastAsia" w:eastAsiaTheme="minorEastAsia" w:cstheme="minorEastAsia"/>
                <w:color w:val="000000" w:themeColor="text1"/>
                <w:sz w:val="22"/>
                <w:highlight w:val="none"/>
                <w14:textFill>
                  <w14:solidFill>
                    <w14:schemeClr w14:val="tx1"/>
                  </w14:solidFill>
                </w14:textFill>
              </w:rPr>
            </w:pPr>
            <w:r>
              <w:rPr>
                <w:rFonts w:hint="eastAsia" w:asciiTheme="minorEastAsia" w:hAnsiTheme="minorEastAsia" w:cstheme="minorEastAsia"/>
                <w:b/>
                <w:bCs/>
                <w:color w:val="000000" w:themeColor="text1"/>
                <w:sz w:val="24"/>
                <w:szCs w:val="24"/>
                <w:highlight w:val="none"/>
                <w:lang w:val="en-US" w:eastAsia="zh-CN"/>
                <w14:textFill>
                  <w14:solidFill>
                    <w14:schemeClr w14:val="tx1"/>
                  </w14:solidFill>
                </w14:textFill>
              </w:rPr>
              <w:t>附</w:t>
            </w:r>
            <w:r>
              <w:rPr>
                <w:rFonts w:hint="eastAsia" w:asciiTheme="minorEastAsia" w:hAnsiTheme="minorEastAsia" w:eastAsiaTheme="minorEastAsia" w:cstheme="minorEastAsia"/>
                <w:b/>
                <w:bCs/>
                <w:color w:val="000000" w:themeColor="text1"/>
                <w:kern w:val="0"/>
                <w:sz w:val="24"/>
                <w:szCs w:val="24"/>
                <w:highlight w:val="none"/>
                <w14:textFill>
                  <w14:solidFill>
                    <w14:schemeClr w14:val="tx1"/>
                  </w14:solidFill>
                </w14:textFill>
              </w:rPr>
              <w:t>表2</w:t>
            </w:r>
            <w:r>
              <w:rPr>
                <w:rFonts w:hint="eastAsia" w:asciiTheme="minorEastAsia" w:hAnsiTheme="minorEastAsia" w:eastAsiaTheme="minorEastAsia" w:cstheme="minorEastAsia"/>
                <w:b/>
                <w:bCs/>
                <w:color w:val="000000" w:themeColor="text1"/>
                <w:kern w:val="0"/>
                <w:sz w:val="24"/>
                <w:szCs w:val="24"/>
                <w:highlight w:val="none"/>
                <w:lang w:val="en-US" w:eastAsia="zh-CN"/>
                <w14:textFill>
                  <w14:solidFill>
                    <w14:schemeClr w14:val="tx1"/>
                  </w14:solidFill>
                </w14:textFill>
              </w:rPr>
              <w:t xml:space="preserve">            </w:t>
            </w:r>
            <w:r>
              <w:rPr>
                <w:rFonts w:hint="eastAsia" w:asciiTheme="minorEastAsia" w:hAnsiTheme="minorEastAsia" w:cstheme="minorEastAsia"/>
                <w:b/>
                <w:bCs/>
                <w:color w:val="000000" w:themeColor="text1"/>
                <w:kern w:val="0"/>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
                <w:bCs/>
                <w:color w:val="000000" w:themeColor="text1"/>
                <w:kern w:val="0"/>
                <w:sz w:val="24"/>
                <w:szCs w:val="24"/>
                <w:highlight w:val="none"/>
                <w:lang w:val="en-US" w:eastAsia="zh-CN"/>
                <w14:textFill>
                  <w14:solidFill>
                    <w14:schemeClr w14:val="tx1"/>
                  </w14:solidFill>
                </w14:textFill>
              </w:rPr>
              <w:t xml:space="preserve">       行业</w:t>
            </w:r>
            <w:r>
              <w:rPr>
                <w:rFonts w:hint="eastAsia" w:asciiTheme="minorEastAsia" w:hAnsiTheme="minorEastAsia" w:eastAsiaTheme="minorEastAsia" w:cstheme="minorEastAsia"/>
                <w:b/>
                <w:bCs/>
                <w:color w:val="000000" w:themeColor="text1"/>
                <w:kern w:val="0"/>
                <w:sz w:val="24"/>
                <w:szCs w:val="24"/>
                <w:highlight w:val="none"/>
                <w14:textFill>
                  <w14:solidFill>
                    <w14:schemeClr w14:val="tx1"/>
                  </w14:solidFill>
                </w14:textFill>
              </w:rPr>
              <w:t>调整系数</w:t>
            </w:r>
          </w:p>
        </w:tc>
      </w:tr>
      <w:tr>
        <w:tblPrEx>
          <w:tblLayout w:type="fixed"/>
          <w:tblCellMar>
            <w:top w:w="15" w:type="dxa"/>
            <w:left w:w="15" w:type="dxa"/>
            <w:bottom w:w="15" w:type="dxa"/>
            <w:right w:w="15" w:type="dxa"/>
          </w:tblCellMar>
        </w:tblPrEx>
        <w:trPr>
          <w:trHeight w:val="360" w:hRule="atLeast"/>
        </w:trPr>
        <w:tc>
          <w:tcPr>
            <w:tcW w:w="63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行业</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调整系数（以表一所列</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计</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费标准标准为1）</w:t>
            </w:r>
          </w:p>
        </w:tc>
      </w:tr>
      <w:tr>
        <w:tblPrEx>
          <w:tblLayout w:type="fixed"/>
          <w:tblCellMar>
            <w:top w:w="15" w:type="dxa"/>
            <w:left w:w="15" w:type="dxa"/>
            <w:bottom w:w="15" w:type="dxa"/>
            <w:right w:w="15" w:type="dxa"/>
          </w:tblCellMar>
        </w:tblPrEx>
        <w:trPr>
          <w:trHeight w:val="360" w:hRule="atLeast"/>
        </w:trPr>
        <w:tc>
          <w:tcPr>
            <w:tcW w:w="6313" w:type="dxa"/>
            <w:gridSpan w:val="2"/>
            <w:tcBorders>
              <w:top w:val="single" w:color="000000" w:sz="4" w:space="0"/>
              <w:lef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一、行业调整系数</w:t>
            </w:r>
          </w:p>
        </w:tc>
        <w:tc>
          <w:tcPr>
            <w:tcW w:w="2023" w:type="dxa"/>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Layout w:type="fixed"/>
          <w:tblCellMar>
            <w:top w:w="15" w:type="dxa"/>
            <w:left w:w="15" w:type="dxa"/>
            <w:bottom w:w="15" w:type="dxa"/>
            <w:right w:w="15" w:type="dxa"/>
          </w:tblCellMar>
        </w:tblPrEx>
        <w:trPr>
          <w:trHeight w:val="360" w:hRule="atLeast"/>
        </w:trPr>
        <w:tc>
          <w:tcPr>
            <w:tcW w:w="399" w:type="dxa"/>
            <w:tcBorders>
              <w:left w:val="single" w:color="000000" w:sz="4" w:space="0"/>
            </w:tcBorders>
            <w:shd w:val="clear" w:color="auto" w:fill="auto"/>
            <w:vAlign w:val="center"/>
          </w:tcPr>
          <w:p>
            <w:pP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5914" w:type="dxa"/>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、水利、水电、交通（水运）</w:t>
            </w:r>
          </w:p>
        </w:tc>
        <w:tc>
          <w:tcPr>
            <w:tcW w:w="2023" w:type="dxa"/>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1.2 </w:t>
            </w:r>
          </w:p>
        </w:tc>
      </w:tr>
      <w:tr>
        <w:tblPrEx>
          <w:tblLayout w:type="fixed"/>
          <w:tblCellMar>
            <w:top w:w="15" w:type="dxa"/>
            <w:left w:w="15" w:type="dxa"/>
            <w:bottom w:w="15" w:type="dxa"/>
            <w:right w:w="15" w:type="dxa"/>
          </w:tblCellMar>
        </w:tblPrEx>
        <w:trPr>
          <w:trHeight w:val="253" w:hRule="atLeast"/>
        </w:trPr>
        <w:tc>
          <w:tcPr>
            <w:tcW w:w="399" w:type="dxa"/>
            <w:tcBorders>
              <w:left w:val="single" w:color="000000" w:sz="4" w:space="0"/>
            </w:tcBorders>
            <w:shd w:val="clear" w:color="auto" w:fill="auto"/>
            <w:vAlign w:val="center"/>
          </w:tcPr>
          <w:p>
            <w:pP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5914" w:type="dxa"/>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2、轨道交通</w:t>
            </w:r>
          </w:p>
        </w:tc>
        <w:tc>
          <w:tcPr>
            <w:tcW w:w="2023" w:type="dxa"/>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1.1</w:t>
            </w:r>
          </w:p>
        </w:tc>
      </w:tr>
      <w:tr>
        <w:tblPrEx>
          <w:tblLayout w:type="fixed"/>
          <w:tblCellMar>
            <w:top w:w="15" w:type="dxa"/>
            <w:left w:w="15" w:type="dxa"/>
            <w:bottom w:w="15" w:type="dxa"/>
            <w:right w:w="15" w:type="dxa"/>
          </w:tblCellMar>
        </w:tblPrEx>
        <w:trPr>
          <w:trHeight w:val="360" w:hRule="atLeast"/>
        </w:trPr>
        <w:tc>
          <w:tcPr>
            <w:tcW w:w="399" w:type="dxa"/>
            <w:tcBorders>
              <w:left w:val="single" w:color="000000" w:sz="4" w:space="0"/>
            </w:tcBorders>
            <w:shd w:val="clear" w:color="auto" w:fill="auto"/>
            <w:vAlign w:val="center"/>
          </w:tcPr>
          <w:p>
            <w:pP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5914" w:type="dxa"/>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、机械（含船舶、航空、航天、兵器）</w:t>
            </w:r>
          </w:p>
        </w:tc>
        <w:tc>
          <w:tcPr>
            <w:tcW w:w="2023" w:type="dxa"/>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1.0 </w:t>
            </w:r>
          </w:p>
        </w:tc>
      </w:tr>
      <w:tr>
        <w:tblPrEx>
          <w:tblLayout w:type="fixed"/>
          <w:tblCellMar>
            <w:top w:w="15" w:type="dxa"/>
            <w:left w:w="15" w:type="dxa"/>
            <w:bottom w:w="15" w:type="dxa"/>
            <w:right w:w="15" w:type="dxa"/>
          </w:tblCellMar>
        </w:tblPrEx>
        <w:trPr>
          <w:trHeight w:val="360" w:hRule="atLeast"/>
        </w:trPr>
        <w:tc>
          <w:tcPr>
            <w:tcW w:w="399" w:type="dxa"/>
            <w:tcBorders>
              <w:left w:val="single" w:color="000000" w:sz="4" w:space="0"/>
            </w:tcBorders>
            <w:shd w:val="clear" w:color="auto" w:fill="auto"/>
            <w:vAlign w:val="center"/>
          </w:tcPr>
          <w:p>
            <w:pP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5914" w:type="dxa"/>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、林业、商业、粮食、建筑</w:t>
            </w:r>
          </w:p>
        </w:tc>
        <w:tc>
          <w:tcPr>
            <w:tcW w:w="2023" w:type="dxa"/>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0.8</w:t>
            </w:r>
          </w:p>
        </w:tc>
      </w:tr>
      <w:tr>
        <w:tblPrEx>
          <w:tblLayout w:type="fixed"/>
          <w:tblCellMar>
            <w:top w:w="15" w:type="dxa"/>
            <w:left w:w="15" w:type="dxa"/>
            <w:bottom w:w="15" w:type="dxa"/>
            <w:right w:w="15" w:type="dxa"/>
          </w:tblCellMar>
        </w:tblPrEx>
        <w:trPr>
          <w:trHeight w:val="360" w:hRule="atLeast"/>
        </w:trPr>
        <w:tc>
          <w:tcPr>
            <w:tcW w:w="399" w:type="dxa"/>
            <w:tcBorders>
              <w:left w:val="single" w:color="000000" w:sz="4" w:space="0"/>
              <w:bottom w:val="single" w:color="000000" w:sz="4" w:space="0"/>
            </w:tcBorders>
            <w:shd w:val="clear" w:color="auto" w:fill="auto"/>
            <w:vAlign w:val="center"/>
          </w:tcPr>
          <w:p>
            <w:pP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5914" w:type="dxa"/>
            <w:tcBorders>
              <w:bottom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、建材、交通（公路）、铁道、市政公用工程</w:t>
            </w:r>
          </w:p>
        </w:tc>
        <w:tc>
          <w:tcPr>
            <w:tcW w:w="2023"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0.7</w:t>
            </w:r>
          </w:p>
        </w:tc>
      </w:tr>
    </w:tbl>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br w:type="page"/>
      </w:r>
    </w:p>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案例</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一、</w:t>
      </w:r>
      <w:r>
        <w:rPr>
          <w:rFonts w:hint="eastAsia" w:asciiTheme="minorEastAsia" w:hAnsiTheme="minorEastAsia" w:eastAsiaTheme="minorEastAsia" w:cstheme="minorEastAsia"/>
          <w:bCs/>
          <w:color w:val="000000" w:themeColor="text1"/>
          <w:sz w:val="28"/>
          <w:szCs w:val="28"/>
          <w:highlight w:val="none"/>
          <w:lang w:eastAsia="zh-CN"/>
          <w14:textFill>
            <w14:solidFill>
              <w14:schemeClr w14:val="tx1"/>
            </w14:solidFill>
          </w14:textFill>
        </w:rPr>
        <w:t>某房建工程</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总投资1800万元，可研报告编制、评估费计算如下：</w:t>
      </w:r>
    </w:p>
    <w:p>
      <w:pPr>
        <w:numPr>
          <w:ilvl w:val="0"/>
          <w:numId w:val="0"/>
        </w:num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一、</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编制可研报告费用</w:t>
      </w:r>
    </w:p>
    <w:p>
      <w:pPr>
        <w:numPr>
          <w:ilvl w:val="0"/>
          <w:numId w:val="5"/>
        </w:numPr>
        <w:tabs>
          <w:tab w:val="left" w:pos="312"/>
        </w:tabs>
        <w:ind w:left="-420" w:firstLine="425"/>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可研报告编制基本</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收费</w:t>
      </w:r>
    </w:p>
    <w:p>
      <w:pPr>
        <w:rPr>
          <w:rFonts w:hint="default" w:asciiTheme="minorEastAsia" w:hAnsi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cstheme="minorEastAsia"/>
          <w:bCs/>
          <w:color w:val="000000" w:themeColor="text1"/>
          <w:sz w:val="28"/>
          <w:szCs w:val="28"/>
          <w:highlight w:val="none"/>
          <w:lang w:val="en-GB" w:eastAsia="zh-CN"/>
          <w14:textFill>
            <w14:solidFill>
              <w14:schemeClr w14:val="tx1"/>
            </w14:solidFill>
          </w14:textFill>
        </w:rPr>
        <w:t>（</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1</w:t>
      </w:r>
      <w:r>
        <w:rPr>
          <w:rFonts w:hint="eastAsia" w:asciiTheme="minorEastAsia" w:hAnsiTheme="minorEastAsia" w:cstheme="minorEastAsia"/>
          <w:bCs/>
          <w:color w:val="000000" w:themeColor="text1"/>
          <w:sz w:val="28"/>
          <w:szCs w:val="28"/>
          <w:highlight w:val="none"/>
          <w:lang w:val="en-GB" w:eastAsia="zh-CN"/>
          <w14:textFill>
            <w14:solidFill>
              <w14:schemeClr w14:val="tx1"/>
            </w14:solidFill>
          </w14:textFill>
        </w:rPr>
        <w:t>）</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确定行业调整系数，根据本章节附表2，建筑工程取0.8</w:t>
      </w:r>
    </w:p>
    <w:p>
      <w:pPr>
        <w:numPr>
          <w:ilvl w:val="0"/>
          <w:numId w:val="5"/>
        </w:numPr>
        <w:tabs>
          <w:tab w:val="left" w:pos="312"/>
        </w:tabs>
        <w:ind w:left="-420" w:firstLine="425"/>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可研报告编制</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费</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合计</w:t>
      </w:r>
    </w:p>
    <w:p>
      <w:pPr>
        <w:ind w:firstLine="560" w:firstLineChars="20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按建设项目估算投资额分档</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计</w:t>
      </w: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费标准</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2000万以内按</w:t>
      </w:r>
      <w:r>
        <w:rPr>
          <w:rFonts w:hint="eastAsia" w:asciiTheme="minorEastAsia" w:hAnsiTheme="minorEastAsia" w:eastAsiaTheme="minorEastAsia" w:cstheme="minorEastAsia"/>
          <w:bCs/>
          <w:color w:val="000000" w:themeColor="text1"/>
          <w:sz w:val="28"/>
          <w:szCs w:val="28"/>
          <w:highlight w:val="none"/>
          <w:lang w:eastAsia="zh-CN"/>
          <w14:textFill>
            <w14:solidFill>
              <w14:schemeClr w14:val="tx1"/>
            </w14:solidFill>
          </w14:textFill>
        </w:rPr>
        <w:t>固定值</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计取，本项目编制可研报告费用为4.48</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*0.8=3.584</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万元。</w:t>
      </w:r>
    </w:p>
    <w:p>
      <w:pPr>
        <w:numPr>
          <w:ilvl w:val="0"/>
          <w:numId w:val="0"/>
        </w:num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二、</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评估可研报告费用</w:t>
      </w:r>
    </w:p>
    <w:p>
      <w:pPr>
        <w:numPr>
          <w:ilvl w:val="0"/>
          <w:numId w:val="6"/>
        </w:numPr>
        <w:tabs>
          <w:tab w:val="left" w:pos="312"/>
        </w:tabs>
        <w:ind w:left="-420" w:firstLine="425"/>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可研报告评估基本</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收费</w:t>
      </w:r>
    </w:p>
    <w:p>
      <w:pPr>
        <w:rPr>
          <w:rFonts w:hint="default" w:asciiTheme="minorEastAsia" w:hAnsi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cstheme="minorEastAsia"/>
          <w:bCs/>
          <w:color w:val="000000" w:themeColor="text1"/>
          <w:sz w:val="28"/>
          <w:szCs w:val="28"/>
          <w:highlight w:val="none"/>
          <w:lang w:val="en-GB" w:eastAsia="zh-CN"/>
          <w14:textFill>
            <w14:solidFill>
              <w14:schemeClr w14:val="tx1"/>
            </w14:solidFill>
          </w14:textFill>
        </w:rPr>
        <w:t>（</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1</w:t>
      </w:r>
      <w:r>
        <w:rPr>
          <w:rFonts w:hint="eastAsia" w:asciiTheme="minorEastAsia" w:hAnsiTheme="minorEastAsia" w:cstheme="minorEastAsia"/>
          <w:bCs/>
          <w:color w:val="000000" w:themeColor="text1"/>
          <w:sz w:val="28"/>
          <w:szCs w:val="28"/>
          <w:highlight w:val="none"/>
          <w:lang w:val="en-GB" w:eastAsia="zh-CN"/>
          <w14:textFill>
            <w14:solidFill>
              <w14:schemeClr w14:val="tx1"/>
            </w14:solidFill>
          </w14:textFill>
        </w:rPr>
        <w:t>）</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确定行业调整系数，根据本章节附表2，建筑工程取0.8</w:t>
      </w:r>
    </w:p>
    <w:p>
      <w:pPr>
        <w:numPr>
          <w:ilvl w:val="0"/>
          <w:numId w:val="6"/>
        </w:numPr>
        <w:tabs>
          <w:tab w:val="left" w:pos="312"/>
        </w:tabs>
        <w:ind w:left="-420" w:firstLine="425"/>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可研报告评估</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费</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合计</w:t>
      </w:r>
    </w:p>
    <w:p>
      <w:pPr>
        <w:ind w:firstLine="560" w:firstLineChars="20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按建设项目估算投资额分档</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计</w:t>
      </w: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费标准</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2000万以内按</w:t>
      </w:r>
      <w:r>
        <w:rPr>
          <w:rFonts w:hint="eastAsia" w:asciiTheme="minorEastAsia" w:hAnsiTheme="minorEastAsia" w:eastAsiaTheme="minorEastAsia" w:cstheme="minorEastAsia"/>
          <w:bCs/>
          <w:color w:val="000000" w:themeColor="text1"/>
          <w:sz w:val="28"/>
          <w:szCs w:val="28"/>
          <w:highlight w:val="none"/>
          <w:lang w:eastAsia="zh-CN"/>
          <w14:textFill>
            <w14:solidFill>
              <w14:schemeClr w14:val="tx1"/>
            </w14:solidFill>
          </w14:textFill>
        </w:rPr>
        <w:t>固定值</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计取，本项目评估可研报告费用为</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3</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.05</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*0.8=2.44</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万元。</w:t>
      </w:r>
    </w:p>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br w:type="page"/>
      </w:r>
    </w:p>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案例</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二、</w:t>
      </w:r>
      <w:r>
        <w:rPr>
          <w:rFonts w:hint="eastAsia" w:asciiTheme="minorEastAsia" w:hAnsiTheme="minorEastAsia" w:eastAsiaTheme="minorEastAsia" w:cstheme="minorEastAsia"/>
          <w:bCs/>
          <w:color w:val="000000" w:themeColor="text1"/>
          <w:sz w:val="28"/>
          <w:szCs w:val="28"/>
          <w:highlight w:val="none"/>
          <w:lang w:eastAsia="zh-CN"/>
          <w14:textFill>
            <w14:solidFill>
              <w14:schemeClr w14:val="tx1"/>
            </w14:solidFill>
          </w14:textFill>
        </w:rPr>
        <w:t>某</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综合管廊项目</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总投资</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4.46</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亿元，可研报告编制、评估费计算如下：</w:t>
      </w:r>
    </w:p>
    <w:p>
      <w:pPr>
        <w:numPr>
          <w:ilvl w:val="0"/>
          <w:numId w:val="0"/>
        </w:num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一、</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编制可研报告费用</w:t>
      </w:r>
    </w:p>
    <w:p>
      <w:pPr>
        <w:numPr>
          <w:ilvl w:val="0"/>
          <w:numId w:val="7"/>
        </w:numPr>
        <w:tabs>
          <w:tab w:val="left" w:pos="312"/>
        </w:tabs>
        <w:ind w:left="-420" w:firstLine="425"/>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可研报告编制基本</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收费</w:t>
      </w:r>
    </w:p>
    <w:p>
      <w:pPr>
        <w:rPr>
          <w:rFonts w:hint="default" w:asciiTheme="minorEastAsia" w:hAnsi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cstheme="minorEastAsia"/>
          <w:bCs/>
          <w:color w:val="000000" w:themeColor="text1"/>
          <w:sz w:val="28"/>
          <w:szCs w:val="28"/>
          <w:highlight w:val="none"/>
          <w:lang w:val="en-GB" w:eastAsia="zh-CN"/>
          <w14:textFill>
            <w14:solidFill>
              <w14:schemeClr w14:val="tx1"/>
            </w14:solidFill>
          </w14:textFill>
        </w:rPr>
        <w:t>（</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1</w:t>
      </w:r>
      <w:r>
        <w:rPr>
          <w:rFonts w:hint="eastAsia" w:asciiTheme="minorEastAsia" w:hAnsiTheme="minorEastAsia" w:cstheme="minorEastAsia"/>
          <w:bCs/>
          <w:color w:val="000000" w:themeColor="text1"/>
          <w:sz w:val="28"/>
          <w:szCs w:val="28"/>
          <w:highlight w:val="none"/>
          <w:lang w:val="en-GB" w:eastAsia="zh-CN"/>
          <w14:textFill>
            <w14:solidFill>
              <w14:schemeClr w14:val="tx1"/>
            </w14:solidFill>
          </w14:textFill>
        </w:rPr>
        <w:t>）</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确定行业调整系数，根据本章节附表2，市政公用工程取0.7</w:t>
      </w:r>
    </w:p>
    <w:p>
      <w:pPr>
        <w:numPr>
          <w:ilvl w:val="0"/>
          <w:numId w:val="7"/>
        </w:numPr>
        <w:tabs>
          <w:tab w:val="left" w:pos="312"/>
        </w:tabs>
        <w:ind w:left="-420" w:firstLine="425"/>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可研报告编制</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费</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合计</w:t>
      </w:r>
    </w:p>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按建设项目估算投资额分档</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计</w:t>
      </w: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费标准</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1</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亿元~</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5</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亿元区间</w:t>
      </w:r>
    </w:p>
    <w:p>
      <w:p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19.6</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+(44.6</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3-19.6</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4</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0000*</w:t>
      </w:r>
      <w:r>
        <w:rPr>
          <w:rFonts w:hint="eastAsia" w:asciiTheme="minorEastAsia" w:hAnsiTheme="minorEastAsia" w:eastAsiaTheme="minorEastAsia" w:cstheme="minorEastAsia"/>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44600-10000</w:t>
      </w:r>
      <w:r>
        <w:rPr>
          <w:rFonts w:hint="eastAsia" w:asciiTheme="minorEastAsia" w:hAnsiTheme="minorEastAsia" w:eastAsiaTheme="minorEastAsia" w:cstheme="minorEastAsia"/>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*0.7=28.88万元</w:t>
      </w:r>
    </w:p>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本项目编制可研报告费用为</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28.88</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万元。</w:t>
      </w:r>
    </w:p>
    <w:p>
      <w:pPr>
        <w:numPr>
          <w:ilvl w:val="0"/>
          <w:numId w:val="0"/>
        </w:num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二、</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评估可研报告费用</w:t>
      </w:r>
    </w:p>
    <w:p>
      <w:pPr>
        <w:numPr>
          <w:ilvl w:val="0"/>
          <w:numId w:val="8"/>
        </w:numPr>
        <w:tabs>
          <w:tab w:val="left" w:pos="312"/>
        </w:tabs>
        <w:ind w:left="-420" w:firstLine="425"/>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可研报告评估基本</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收费</w:t>
      </w:r>
    </w:p>
    <w:p>
      <w:pPr>
        <w:rPr>
          <w:rFonts w:hint="default" w:asciiTheme="minorEastAsia" w:hAnsi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cstheme="minorEastAsia"/>
          <w:bCs/>
          <w:color w:val="000000" w:themeColor="text1"/>
          <w:sz w:val="28"/>
          <w:szCs w:val="28"/>
          <w:highlight w:val="none"/>
          <w:lang w:val="en-GB" w:eastAsia="zh-CN"/>
          <w14:textFill>
            <w14:solidFill>
              <w14:schemeClr w14:val="tx1"/>
            </w14:solidFill>
          </w14:textFill>
        </w:rPr>
        <w:t>（</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1</w:t>
      </w:r>
      <w:r>
        <w:rPr>
          <w:rFonts w:hint="eastAsia" w:asciiTheme="minorEastAsia" w:hAnsiTheme="minorEastAsia" w:cstheme="minorEastAsia"/>
          <w:bCs/>
          <w:color w:val="000000" w:themeColor="text1"/>
          <w:sz w:val="28"/>
          <w:szCs w:val="28"/>
          <w:highlight w:val="none"/>
          <w:lang w:val="en-GB" w:eastAsia="zh-CN"/>
          <w14:textFill>
            <w14:solidFill>
              <w14:schemeClr w14:val="tx1"/>
            </w14:solidFill>
          </w14:textFill>
        </w:rPr>
        <w:t>）</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确定行业调整系数，根据本章节附表2，市政公用工程取0.7</w:t>
      </w:r>
    </w:p>
    <w:p>
      <w:pPr>
        <w:numPr>
          <w:ilvl w:val="0"/>
          <w:numId w:val="8"/>
        </w:numPr>
        <w:tabs>
          <w:tab w:val="left" w:pos="312"/>
        </w:tabs>
        <w:ind w:left="-420" w:firstLine="425"/>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可研报告评估</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费</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合计</w:t>
      </w:r>
    </w:p>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按建设项目估算投资额分档</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计</w:t>
      </w: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费标准</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5亿元~10亿元区间</w:t>
      </w:r>
    </w:p>
    <w:p>
      <w:p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7</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+(8.9</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3-7</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4</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0000*</w:t>
      </w:r>
      <w:r>
        <w:rPr>
          <w:rFonts w:hint="eastAsia" w:asciiTheme="minorEastAsia" w:hAnsiTheme="minorEastAsia" w:eastAsiaTheme="minorEastAsia" w:cstheme="minorEastAsia"/>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44600-10000</w:t>
      </w:r>
      <w:r>
        <w:rPr>
          <w:rFonts w:hint="eastAsia" w:asciiTheme="minorEastAsia" w:hAnsiTheme="minorEastAsia" w:eastAsiaTheme="minorEastAsia" w:cstheme="minorEastAsia"/>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*0.7=8.67万元</w:t>
      </w:r>
    </w:p>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本项目</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评估</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可研报告费用为</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8.67</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万元。</w:t>
      </w:r>
    </w:p>
    <w:p>
      <w:pPr>
        <w:ind w:firstLine="280" w:firstLineChars="10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Cs/>
          <w:color w:val="000000" w:themeColor="text1"/>
          <w:sz w:val="28"/>
          <w:szCs w:val="28"/>
          <w:highlight w:val="none"/>
          <w:lang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eastAsia="zh-CN"/>
          <w14:textFill>
            <w14:solidFill>
              <w14:schemeClr w14:val="tx1"/>
            </w14:solidFill>
          </w14:textFill>
        </w:rPr>
        <w:br w:type="page"/>
      </w:r>
    </w:p>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案例</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三、</w:t>
      </w:r>
      <w:r>
        <w:rPr>
          <w:rFonts w:hint="eastAsia" w:asciiTheme="minorEastAsia" w:hAnsiTheme="minorEastAsia" w:eastAsiaTheme="minorEastAsia" w:cstheme="minorEastAsia"/>
          <w:bCs/>
          <w:color w:val="000000" w:themeColor="text1"/>
          <w:sz w:val="28"/>
          <w:szCs w:val="28"/>
          <w:highlight w:val="none"/>
          <w:lang w:eastAsia="zh-CN"/>
          <w14:textFill>
            <w14:solidFill>
              <w14:schemeClr w14:val="tx1"/>
            </w14:solidFill>
          </w14:textFill>
        </w:rPr>
        <w:t>某轨道</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交通项目</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总投资</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61.6</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亿元，</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可研与设计同时委托某单位，</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可研报告编制、评估费计算如下：</w:t>
      </w:r>
    </w:p>
    <w:p>
      <w:pPr>
        <w:numPr>
          <w:ilvl w:val="0"/>
          <w:numId w:val="0"/>
        </w:num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一、</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编制可研报告费用</w:t>
      </w:r>
    </w:p>
    <w:p>
      <w:pPr>
        <w:numPr>
          <w:ilvl w:val="0"/>
          <w:numId w:val="9"/>
        </w:numPr>
        <w:tabs>
          <w:tab w:val="left" w:pos="312"/>
        </w:tabs>
        <w:ind w:left="-420" w:firstLine="425"/>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可研报告编制基本</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收费</w:t>
      </w:r>
    </w:p>
    <w:p>
      <w:pPr>
        <w:numPr>
          <w:ilvl w:val="0"/>
          <w:numId w:val="10"/>
        </w:numP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确定行业调整系数，根据本章节附表2，轨道交通工程取1.1</w:t>
      </w:r>
    </w:p>
    <w:p>
      <w:pPr>
        <w:numPr>
          <w:ilvl w:val="0"/>
          <w:numId w:val="10"/>
        </w:numPr>
        <w:rPr>
          <w:rFonts w:hint="default" w:asciiTheme="minorEastAsia" w:hAnsi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可研与设计同时委托，根据本章节附表1，费用取0.8</w:t>
      </w:r>
    </w:p>
    <w:p>
      <w:pPr>
        <w:numPr>
          <w:ilvl w:val="0"/>
          <w:numId w:val="9"/>
        </w:numPr>
        <w:tabs>
          <w:tab w:val="left" w:pos="312"/>
        </w:tabs>
        <w:ind w:left="-420" w:firstLine="425"/>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可研报告编制</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费</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合计</w:t>
      </w:r>
    </w:p>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按建设项目估算投资额分档</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计</w:t>
      </w: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费标准</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50</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亿</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元~150亿元区间</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，本项目编制可研报告费用为</w:t>
      </w:r>
    </w:p>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61.6</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105-</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61.6</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0</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10</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0000*</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116</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000</w:t>
      </w:r>
      <w:r>
        <w:rPr>
          <w:rFonts w:hint="eastAsia" w:asciiTheme="minorEastAsia" w:hAnsiTheme="minorEastAsia" w:eastAsiaTheme="minorEastAsia" w:cstheme="minorEastAsia"/>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*1.1*0.8=98.51</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万元。</w:t>
      </w:r>
    </w:p>
    <w:p>
      <w:pPr>
        <w:numPr>
          <w:ilvl w:val="0"/>
          <w:numId w:val="0"/>
        </w:num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二、</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评估可研报告费用</w:t>
      </w:r>
    </w:p>
    <w:p>
      <w:pPr>
        <w:numPr>
          <w:ilvl w:val="0"/>
          <w:numId w:val="11"/>
        </w:numPr>
        <w:tabs>
          <w:tab w:val="left" w:pos="312"/>
        </w:tabs>
        <w:ind w:left="-420" w:firstLine="425"/>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可研报告评估基本</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收费</w:t>
      </w:r>
    </w:p>
    <w:p>
      <w:pPr>
        <w:numPr>
          <w:ilvl w:val="0"/>
          <w:numId w:val="12"/>
        </w:numP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确定行业调整系数，根据本章节附表2，轨道交通工程取1.1</w:t>
      </w:r>
    </w:p>
    <w:p>
      <w:pPr>
        <w:numPr>
          <w:ilvl w:val="0"/>
          <w:numId w:val="12"/>
        </w:numPr>
        <w:rPr>
          <w:rFonts w:hint="default" w:asciiTheme="minorEastAsia" w:hAnsi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可研与设计同时委托，根据本章节附表1，费用取0.8</w:t>
      </w:r>
    </w:p>
    <w:p>
      <w:pPr>
        <w:numPr>
          <w:ilvl w:val="0"/>
          <w:numId w:val="11"/>
        </w:numPr>
        <w:tabs>
          <w:tab w:val="left" w:pos="312"/>
        </w:tabs>
        <w:ind w:left="-420" w:firstLine="425"/>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可研报告评估</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费</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合计</w:t>
      </w:r>
    </w:p>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按建设项目估算投资额分档</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计</w:t>
      </w: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费标准</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50</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亿</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元~150亿元区间</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，本项目</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评估</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可研报告费用为</w:t>
      </w:r>
    </w:p>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13.13</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18.38-13.13</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10</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0000*</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116</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000</w:t>
      </w:r>
      <w:r>
        <w:rPr>
          <w:rFonts w:hint="eastAsia" w:asciiTheme="minorEastAsia" w:hAnsiTheme="minorEastAsia" w:eastAsiaTheme="minorEastAsia" w:cstheme="minorEastAsia"/>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*1.1*0.8=16.91</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万元。</w:t>
      </w:r>
    </w:p>
    <w:p>
      <w:pPr>
        <w:jc w:val="center"/>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pPr>
    </w:p>
    <w:p>
      <w:pPr>
        <w:jc w:val="both"/>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br w:type="page"/>
      </w:r>
    </w:p>
    <w:p>
      <w:pPr>
        <w:pStyle w:val="2"/>
        <w:bidi w:val="0"/>
        <w:jc w:val="center"/>
        <w:rPr>
          <w:rFonts w:hint="eastAsia"/>
          <w:color w:val="000000" w:themeColor="text1"/>
          <w:sz w:val="36"/>
          <w:szCs w:val="36"/>
          <w:highlight w:val="none"/>
          <w:lang w:val="en-US" w:eastAsia="zh-CN"/>
          <w14:textFill>
            <w14:solidFill>
              <w14:schemeClr w14:val="tx1"/>
            </w14:solidFill>
          </w14:textFill>
        </w:rPr>
      </w:pPr>
      <w:bookmarkStart w:id="3" w:name="_Toc30152"/>
      <w:r>
        <w:rPr>
          <w:rFonts w:hint="eastAsia"/>
          <w:color w:val="000000" w:themeColor="text1"/>
          <w:sz w:val="36"/>
          <w:szCs w:val="36"/>
          <w:highlight w:val="none"/>
          <w:lang w:val="en-US" w:eastAsia="zh-CN"/>
          <w14:textFill>
            <w14:solidFill>
              <w14:schemeClr w14:val="tx1"/>
            </w14:solidFill>
          </w14:textFill>
        </w:rPr>
        <w:t>第二章 工程设计服务费</w:t>
      </w:r>
      <w:bookmarkEnd w:id="3"/>
    </w:p>
    <w:p>
      <w:pPr>
        <w:numPr>
          <w:ilvl w:val="0"/>
          <w:numId w:val="0"/>
        </w:numPr>
        <w:jc w:val="both"/>
        <w:outlineLvl w:val="9"/>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pPr>
    </w:p>
    <w:p>
      <w:pPr>
        <w:numPr>
          <w:ilvl w:val="0"/>
          <w:numId w:val="13"/>
        </w:numPr>
        <w:ind w:left="0" w:leftChars="0" w:firstLine="420" w:firstLineChars="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工作内容：</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编制初步设计文件、施工图设计文件，并相应提供设计技术交底、解决施工中的设计技术问题、参加试车考核和竣工验收等服务</w:t>
      </w:r>
      <w:r>
        <w:rPr>
          <w:rFonts w:hint="eastAsia" w:asciiTheme="minorEastAsia" w:hAnsiTheme="minorEastAsia" w:eastAsiaTheme="minorEastAsia" w:cstheme="minorEastAsia"/>
          <w:bCs/>
          <w:color w:val="000000" w:themeColor="text1"/>
          <w:sz w:val="28"/>
          <w:szCs w:val="28"/>
          <w:highlight w:val="none"/>
          <w:lang w:eastAsia="zh-CN"/>
          <w14:textFill>
            <w14:solidFill>
              <w14:schemeClr w14:val="tx1"/>
            </w14:solidFill>
          </w14:textFill>
        </w:rPr>
        <w:t>。</w:t>
      </w:r>
    </w:p>
    <w:p>
      <w:pPr>
        <w:numPr>
          <w:ilvl w:val="0"/>
          <w:numId w:val="13"/>
        </w:numPr>
        <w:ind w:left="0" w:leftChars="0" w:firstLine="42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适用范围：本市政府投资建设项目的工程设计服务费上限值及结算可参考本标准。</w:t>
      </w:r>
    </w:p>
    <w:p>
      <w:pPr>
        <w:numPr>
          <w:ilvl w:val="0"/>
          <w:numId w:val="13"/>
        </w:numPr>
        <w:ind w:left="0" w:leftChars="0" w:firstLine="42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计费标准</w:t>
      </w:r>
    </w:p>
    <w:p>
      <w:pPr>
        <w:numPr>
          <w:ilvl w:val="0"/>
          <w:numId w:val="14"/>
        </w:numPr>
        <w:spacing w:line="500" w:lineRule="exact"/>
        <w:ind w:left="825" w:leftChars="0" w:hanging="185" w:firstLineChars="0"/>
        <w:rPr>
          <w:rFonts w:hint="eastAsia" w:asciiTheme="minorEastAsia" w:hAnsiTheme="minorEastAsia" w:eastAsiaTheme="minorEastAsia" w:cstheme="minorEastAsia"/>
          <w:color w:val="000000" w:themeColor="text1"/>
          <w:sz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14:textFill>
            <w14:solidFill>
              <w14:schemeClr w14:val="tx1"/>
            </w14:solidFill>
          </w14:textFill>
        </w:rPr>
        <w:t>工程设计费按照下列公式计算：</w:t>
      </w:r>
    </w:p>
    <w:p>
      <w:pPr>
        <w:numPr>
          <w:ilvl w:val="1"/>
          <w:numId w:val="14"/>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14:textFill>
            <w14:solidFill>
              <w14:schemeClr w14:val="tx1"/>
            </w14:solidFill>
          </w14:textFill>
        </w:rPr>
        <w:t>工程设计费基准价=基本设计费</w:t>
      </w: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w:t>
      </w:r>
      <w:r>
        <w:rPr>
          <w:rFonts w:hint="eastAsia" w:asciiTheme="minorEastAsia" w:hAnsiTheme="minorEastAsia" w:eastAsiaTheme="minorEastAsia" w:cstheme="minorEastAsia"/>
          <w:color w:val="000000" w:themeColor="text1"/>
          <w:sz w:val="28"/>
          <w:highlight w:val="none"/>
          <w14:textFill>
            <w14:solidFill>
              <w14:schemeClr w14:val="tx1"/>
            </w14:solidFill>
          </w14:textFill>
        </w:rPr>
        <w:t>其他设计费；</w:t>
      </w:r>
    </w:p>
    <w:p>
      <w:pPr>
        <w:numPr>
          <w:ilvl w:val="1"/>
          <w:numId w:val="14"/>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14:textFill>
            <w14:solidFill>
              <w14:schemeClr w14:val="tx1"/>
            </w14:solidFill>
          </w14:textFill>
        </w:rPr>
        <w:t>基本设计费=工程设计费基价×专业调整系数×工程复杂程度调整系数×附加调整系数。工程设计费采取按照建设项目单项工程概算投资额分档定额计费方法计算。</w:t>
      </w:r>
    </w:p>
    <w:p>
      <w:pPr>
        <w:spacing w:line="500" w:lineRule="exact"/>
        <w:ind w:firstLine="420"/>
        <w:rPr>
          <w:rFonts w:hint="eastAsia" w:asciiTheme="minorEastAsia" w:hAnsiTheme="minorEastAsia" w:eastAsiaTheme="minorEastAsia" w:cstheme="minorEastAsia"/>
          <w:color w:val="000000" w:themeColor="text1"/>
          <w:sz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14:textFill>
            <w14:solidFill>
              <w14:schemeClr w14:val="tx1"/>
            </w14:solidFill>
          </w14:textFill>
        </w:rPr>
        <w:t>工程设计费基价在《工程设计费基价表》（附表一）中查找确定，计费额处于两个数值区间的，采用直线内插法确定工程设计费基价。</w:t>
      </w:r>
    </w:p>
    <w:p>
      <w:pPr>
        <w:numPr>
          <w:ilvl w:val="0"/>
          <w:numId w:val="14"/>
        </w:numPr>
        <w:spacing w:line="500" w:lineRule="exact"/>
        <w:ind w:left="825" w:leftChars="0" w:hanging="185" w:firstLineChars="0"/>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标准设备设计费按照下列公式计算：</w:t>
      </w:r>
    </w:p>
    <w:p>
      <w:pPr>
        <w:spacing w:line="500" w:lineRule="exact"/>
        <w:ind w:firstLine="450"/>
        <w:rPr>
          <w:rFonts w:hint="eastAsia" w:asciiTheme="minorEastAsia" w:hAnsiTheme="minorEastAsia" w:eastAsiaTheme="minorEastAsia" w:cstheme="minorEastAsia"/>
          <w:color w:val="000000" w:themeColor="text1"/>
          <w:sz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14:textFill>
            <w14:solidFill>
              <w14:schemeClr w14:val="tx1"/>
            </w14:solidFill>
          </w14:textFill>
        </w:rPr>
        <w:t>非标准设备设计费=非标准设备计费</w:t>
      </w:r>
      <w:r>
        <w:rPr>
          <w:rFonts w:hint="eastAsia" w:asciiTheme="minorEastAsia" w:hAnsiTheme="minorEastAsia" w:eastAsiaTheme="minorEastAsia" w:cstheme="minorEastAsia"/>
          <w:color w:val="000000" w:themeColor="text1"/>
          <w:sz w:val="28"/>
          <w:highlight w:val="none"/>
          <w:lang w:eastAsia="zh-CN"/>
          <w14:textFill>
            <w14:solidFill>
              <w14:schemeClr w14:val="tx1"/>
            </w14:solidFill>
          </w14:textFill>
        </w:rPr>
        <w:t>基数</w:t>
      </w:r>
      <w:r>
        <w:rPr>
          <w:rFonts w:hint="eastAsia" w:asciiTheme="minorEastAsia" w:hAnsiTheme="minorEastAsia" w:eastAsiaTheme="minorEastAsia" w:cstheme="minorEastAsia"/>
          <w:color w:val="000000" w:themeColor="text1"/>
          <w:sz w:val="28"/>
          <w:highlight w:val="none"/>
          <w14:textFill>
            <w14:solidFill>
              <w14:schemeClr w14:val="tx1"/>
            </w14:solidFill>
          </w14:textFill>
        </w:rPr>
        <w:t>×非标准设备设计费率</w:t>
      </w:r>
    </w:p>
    <w:p>
      <w:pPr>
        <w:spacing w:line="500" w:lineRule="exact"/>
        <w:ind w:firstLine="450"/>
        <w:rPr>
          <w:rFonts w:hint="eastAsia" w:asciiTheme="minorEastAsia" w:hAnsiTheme="minorEastAsia" w:eastAsiaTheme="minorEastAsia" w:cstheme="minorEastAsia"/>
          <w:color w:val="000000" w:themeColor="text1"/>
          <w:sz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14:textFill>
            <w14:solidFill>
              <w14:schemeClr w14:val="tx1"/>
            </w14:solidFill>
          </w14:textFill>
        </w:rPr>
        <w:t>非标准设备计费</w:t>
      </w:r>
      <w:r>
        <w:rPr>
          <w:rFonts w:hint="eastAsia" w:asciiTheme="minorEastAsia" w:hAnsiTheme="minorEastAsia" w:eastAsiaTheme="minorEastAsia" w:cstheme="minorEastAsia"/>
          <w:color w:val="000000" w:themeColor="text1"/>
          <w:sz w:val="28"/>
          <w:highlight w:val="none"/>
          <w:lang w:eastAsia="zh-CN"/>
          <w14:textFill>
            <w14:solidFill>
              <w14:schemeClr w14:val="tx1"/>
            </w14:solidFill>
          </w14:textFill>
        </w:rPr>
        <w:t>基数</w:t>
      </w:r>
      <w:r>
        <w:rPr>
          <w:rFonts w:hint="eastAsia" w:asciiTheme="minorEastAsia" w:hAnsiTheme="minorEastAsia" w:eastAsiaTheme="minorEastAsia" w:cstheme="minorEastAsia"/>
          <w:color w:val="000000" w:themeColor="text1"/>
          <w:sz w:val="28"/>
          <w:highlight w:val="none"/>
          <w14:textFill>
            <w14:solidFill>
              <w14:schemeClr w14:val="tx1"/>
            </w14:solidFill>
          </w14:textFill>
        </w:rPr>
        <w:t>为非标准设备的初步设计概算。非标准设备设计费率在《非标准设备设计费率表》（附表四）中查找确定。</w:t>
      </w:r>
    </w:p>
    <w:p>
      <w:pPr>
        <w:numPr>
          <w:ilvl w:val="0"/>
          <w:numId w:val="14"/>
        </w:numPr>
        <w:spacing w:line="500" w:lineRule="exact"/>
        <w:ind w:left="825" w:leftChars="0" w:hanging="185" w:firstLineChars="0"/>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非标准设备设计费按照下列公式计算：</w:t>
      </w:r>
    </w:p>
    <w:p>
      <w:pPr>
        <w:spacing w:line="500" w:lineRule="exact"/>
        <w:ind w:firstLine="450"/>
        <w:rPr>
          <w:rFonts w:hint="eastAsia" w:asciiTheme="minorEastAsia" w:hAnsiTheme="minorEastAsia" w:eastAsiaTheme="minorEastAsia" w:cstheme="minorEastAsia"/>
          <w:color w:val="000000" w:themeColor="text1"/>
          <w:sz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14:textFill>
            <w14:solidFill>
              <w14:schemeClr w14:val="tx1"/>
            </w14:solidFill>
          </w14:textFill>
        </w:rPr>
        <w:t>非标准设备设计费=非标准设备计费</w:t>
      </w:r>
      <w:r>
        <w:rPr>
          <w:rFonts w:hint="eastAsia" w:asciiTheme="minorEastAsia" w:hAnsiTheme="minorEastAsia" w:eastAsiaTheme="minorEastAsia" w:cstheme="minorEastAsia"/>
          <w:color w:val="000000" w:themeColor="text1"/>
          <w:sz w:val="28"/>
          <w:highlight w:val="none"/>
          <w:lang w:eastAsia="zh-CN"/>
          <w14:textFill>
            <w14:solidFill>
              <w14:schemeClr w14:val="tx1"/>
            </w14:solidFill>
          </w14:textFill>
        </w:rPr>
        <w:t>基数</w:t>
      </w:r>
      <w:r>
        <w:rPr>
          <w:rFonts w:hint="eastAsia" w:asciiTheme="minorEastAsia" w:hAnsiTheme="minorEastAsia" w:eastAsiaTheme="minorEastAsia" w:cstheme="minorEastAsia"/>
          <w:color w:val="000000" w:themeColor="text1"/>
          <w:sz w:val="28"/>
          <w:highlight w:val="none"/>
          <w14:textFill>
            <w14:solidFill>
              <w14:schemeClr w14:val="tx1"/>
            </w14:solidFill>
          </w14:textFill>
        </w:rPr>
        <w:t>×非标准设备设计费率</w:t>
      </w:r>
    </w:p>
    <w:p>
      <w:pPr>
        <w:spacing w:line="500" w:lineRule="exact"/>
        <w:ind w:firstLine="450"/>
        <w:rPr>
          <w:rFonts w:hint="eastAsia" w:asciiTheme="minorEastAsia" w:hAnsiTheme="minorEastAsia" w:eastAsiaTheme="minorEastAsia" w:cstheme="minorEastAsia"/>
          <w:color w:val="000000" w:themeColor="text1"/>
          <w:sz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14:textFill>
            <w14:solidFill>
              <w14:schemeClr w14:val="tx1"/>
            </w14:solidFill>
          </w14:textFill>
        </w:rPr>
        <w:t>非标准设备计费</w:t>
      </w:r>
      <w:r>
        <w:rPr>
          <w:rFonts w:hint="eastAsia" w:asciiTheme="minorEastAsia" w:hAnsiTheme="minorEastAsia" w:eastAsiaTheme="minorEastAsia" w:cstheme="minorEastAsia"/>
          <w:color w:val="000000" w:themeColor="text1"/>
          <w:sz w:val="28"/>
          <w:highlight w:val="none"/>
          <w:lang w:eastAsia="zh-CN"/>
          <w14:textFill>
            <w14:solidFill>
              <w14:schemeClr w14:val="tx1"/>
            </w14:solidFill>
          </w14:textFill>
        </w:rPr>
        <w:t>基数</w:t>
      </w:r>
      <w:r>
        <w:rPr>
          <w:rFonts w:hint="eastAsia" w:asciiTheme="minorEastAsia" w:hAnsiTheme="minorEastAsia" w:eastAsiaTheme="minorEastAsia" w:cstheme="minorEastAsia"/>
          <w:color w:val="000000" w:themeColor="text1"/>
          <w:sz w:val="28"/>
          <w:highlight w:val="none"/>
          <w14:textFill>
            <w14:solidFill>
              <w14:schemeClr w14:val="tx1"/>
            </w14:solidFill>
          </w14:textFill>
        </w:rPr>
        <w:t>为非标准设备的初步设计概算。非标准设备设计费率在《非标准设备设计费率表》（附表四）中查找确定。</w:t>
      </w:r>
    </w:p>
    <w:p>
      <w:pPr>
        <w:numPr>
          <w:ilvl w:val="0"/>
          <w:numId w:val="14"/>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单独委托工艺设计、土建以及公用工程设计、初步设计、施工图设计的，按照其占基本服务设计工作量的比例计算工程设计费。</w:t>
      </w:r>
    </w:p>
    <w:p>
      <w:pPr>
        <w:numPr>
          <w:ilvl w:val="0"/>
          <w:numId w:val="14"/>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GB" w:eastAsia="zh-CN"/>
          <w14:textFill>
            <w14:solidFill>
              <w14:schemeClr w14:val="tx1"/>
            </w14:solidFill>
          </w14:textFill>
        </w:rPr>
        <w:t>设计咨询费考虑按同等设计服务内容设计费1</w:t>
      </w: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8"/>
          <w:highlight w:val="none"/>
          <w:lang w:val="en-GB" w:eastAsia="zh-CN"/>
          <w14:textFill>
            <w14:solidFill>
              <w14:schemeClr w14:val="tx1"/>
            </w14:solidFill>
          </w14:textFill>
        </w:rPr>
        <w:t>%计算。</w:t>
      </w:r>
    </w:p>
    <w:p>
      <w:pPr>
        <w:numPr>
          <w:ilvl w:val="0"/>
          <w:numId w:val="14"/>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GB"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GB" w:eastAsia="zh-CN"/>
          <w14:textFill>
            <w14:solidFill>
              <w14:schemeClr w14:val="tx1"/>
            </w14:solidFill>
          </w14:textFill>
        </w:rPr>
        <w:t>各阶段</w:t>
      </w: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计</w:t>
      </w:r>
      <w:r>
        <w:rPr>
          <w:rFonts w:hint="eastAsia" w:asciiTheme="minorEastAsia" w:hAnsiTheme="minorEastAsia" w:eastAsiaTheme="minorEastAsia" w:cstheme="minorEastAsia"/>
          <w:color w:val="000000" w:themeColor="text1"/>
          <w:sz w:val="28"/>
          <w:highlight w:val="none"/>
          <w:lang w:val="en-GB" w:eastAsia="zh-CN"/>
          <w14:textFill>
            <w14:solidFill>
              <w14:schemeClr w14:val="tx1"/>
            </w14:solidFill>
          </w14:textFill>
        </w:rPr>
        <w:t>费比例见附表五。</w:t>
      </w:r>
    </w:p>
    <w:p>
      <w:pPr>
        <w:numPr>
          <w:ilvl w:val="0"/>
          <w:numId w:val="13"/>
        </w:numPr>
        <w:ind w:left="0" w:leftChars="0" w:firstLine="42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相关说明</w:t>
      </w:r>
    </w:p>
    <w:p>
      <w:pPr>
        <w:numPr>
          <w:ilvl w:val="0"/>
          <w:numId w:val="15"/>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GB"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GB" w:eastAsia="zh-CN"/>
          <w14:textFill>
            <w14:solidFill>
              <w14:schemeClr w14:val="tx1"/>
            </w14:solidFill>
          </w14:textFill>
        </w:rPr>
        <w:t>工程中有利用原有设备的，以签订工程设计合同时同类设备的当期价格作为工程设计费的计费基数，工程中有缓配设备，但按照合同要求以既配设备进行工程设计并达到设备安装和工艺条件的，以既配设备的当期价格作为工程设计费计费基数；工程中有引进设备的，按照购进设备的离岸价折换成人民币作为工程设计费的计费基数。</w:t>
      </w:r>
    </w:p>
    <w:p>
      <w:pPr>
        <w:numPr>
          <w:ilvl w:val="0"/>
          <w:numId w:val="15"/>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GB"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GB" w:eastAsia="zh-CN"/>
          <w14:textFill>
            <w14:solidFill>
              <w14:schemeClr w14:val="tx1"/>
            </w14:solidFill>
          </w14:textFill>
        </w:rPr>
        <w:t>工程设计费调整系数</w:t>
      </w:r>
    </w:p>
    <w:p>
      <w:pPr>
        <w:spacing w:line="500" w:lineRule="exact"/>
        <w:rPr>
          <w:rFonts w:hint="eastAsia" w:asciiTheme="minorEastAsia" w:hAnsiTheme="minorEastAsia" w:eastAsiaTheme="minorEastAsia" w:cstheme="minorEastAsia"/>
          <w:color w:val="000000" w:themeColor="text1"/>
          <w:sz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14:textFill>
            <w14:solidFill>
              <w14:schemeClr w14:val="tx1"/>
            </w14:solidFill>
          </w14:textFill>
        </w:rPr>
        <w:t xml:space="preserve">    工程设计费标准的调整系数包括：专业调整系数、工程复杂程度调整系数和附加调整系数。</w:t>
      </w:r>
    </w:p>
    <w:p>
      <w:pPr>
        <w:numPr>
          <w:ilvl w:val="1"/>
          <w:numId w:val="16"/>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14:textFill>
            <w14:solidFill>
              <w14:schemeClr w14:val="tx1"/>
            </w14:solidFill>
          </w14:textFill>
        </w:rPr>
        <w:t>专业调整系数是对不同专业建设项目的工程设计复杂程度和工作量差异进行调整的系数。计算工程设计费时，专业调整系数在《工程设计费专业调整系数表》（附表二）中查找确定。</w:t>
      </w:r>
    </w:p>
    <w:p>
      <w:pPr>
        <w:numPr>
          <w:ilvl w:val="1"/>
          <w:numId w:val="16"/>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14:textFill>
            <w14:solidFill>
              <w14:schemeClr w14:val="tx1"/>
            </w14:solidFill>
          </w14:textFill>
        </w:rPr>
        <w:t>工程复杂程度调整系数是对同一专业不同建设项目的工程设计复杂程度和工作量差异进行调整的系数。工程复杂程度分为一般、较复杂和复杂三个等级，其调整系数分别为：一般（Ⅰ级）0.85；较复杂（Ⅱ级）1.0；复杂（Ⅲ级）1.15。计算工程设计费时，工程复杂调整系数在《工程复杂程度系数表》（附表三）中查找。</w:t>
      </w:r>
    </w:p>
    <w:p>
      <w:pPr>
        <w:numPr>
          <w:ilvl w:val="1"/>
          <w:numId w:val="16"/>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14:textFill>
            <w14:solidFill>
              <w14:schemeClr w14:val="tx1"/>
            </w14:solidFill>
          </w14:textFill>
        </w:rPr>
        <w:t>附加调整系数是对专业调整系数和工程复杂程度调整系数尚不能调整的因素进行补充调整的系数。附加调整系数为两个或两个以上的，附加调整系数不能连乘。将各附加调整系数相加，减去附加调整系数的个数，加上定值1，作为附加调整系数值。</w:t>
      </w: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智能建筑、弱电系统设计项目以弱电系统的设计概算为计费额；单位造价指标高于2000元/m2的室内装修设计项目以室内装修的设计概算为计费额；特殊声学装修设计项目以声学装修的设计概算为计费额。</w:t>
      </w:r>
      <w:r>
        <w:rPr>
          <w:rFonts w:hint="eastAsia" w:asciiTheme="minorEastAsia" w:hAnsiTheme="minorEastAsia" w:eastAsiaTheme="minorEastAsia" w:cstheme="minorEastAsia"/>
          <w:color w:val="000000" w:themeColor="text1"/>
          <w:sz w:val="28"/>
          <w:highlight w:val="none"/>
          <w14:textFill>
            <w14:solidFill>
              <w14:schemeClr w14:val="tx1"/>
            </w14:solidFill>
          </w14:textFill>
        </w:rPr>
        <w:t>本标准设定的附加调整系数</w:t>
      </w: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详附表六。</w:t>
      </w:r>
    </w:p>
    <w:p>
      <w:pPr>
        <w:numPr>
          <w:ilvl w:val="0"/>
          <w:numId w:val="15"/>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GB"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GB" w:eastAsia="zh-CN"/>
          <w14:textFill>
            <w14:solidFill>
              <w14:schemeClr w14:val="tx1"/>
            </w14:solidFill>
          </w14:textFill>
        </w:rPr>
        <w:t>初步设计之前，根据技术标准的规定或者发包人的要求，需要编制总体设计的，按照该建设项目基本设计费的5%加收总体设计费。</w:t>
      </w:r>
    </w:p>
    <w:p>
      <w:pPr>
        <w:numPr>
          <w:ilvl w:val="0"/>
          <w:numId w:val="15"/>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GB"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GB" w:eastAsia="zh-CN"/>
          <w14:textFill>
            <w14:solidFill>
              <w14:schemeClr w14:val="tx1"/>
            </w14:solidFill>
          </w14:textFill>
        </w:rPr>
        <w:t>建设项目工程设计由两个或者两个以上设计人承担的，不另增加设计费用。</w:t>
      </w:r>
    </w:p>
    <w:p>
      <w:pPr>
        <w:numPr>
          <w:ilvl w:val="0"/>
          <w:numId w:val="15"/>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GB"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GB" w:eastAsia="zh-CN"/>
          <w14:textFill>
            <w14:solidFill>
              <w14:schemeClr w14:val="tx1"/>
            </w14:solidFill>
          </w14:textFill>
        </w:rPr>
        <w:t>工程设计中采用标准设计或者复用设计的，按照同类新建项目基本设计费的30%计算；需要重新进行基础设计的，按照同类新建项目基本设计费的40%计算；需要对原设计做局部修改的，由发包人和设计人根据设计工作量协商确定工程设计费。</w:t>
      </w:r>
    </w:p>
    <w:p>
      <w:pPr>
        <w:numPr>
          <w:ilvl w:val="0"/>
          <w:numId w:val="15"/>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GB"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GB" w:eastAsia="zh-CN"/>
          <w14:textFill>
            <w14:solidFill>
              <w14:schemeClr w14:val="tx1"/>
            </w14:solidFill>
          </w14:textFill>
        </w:rPr>
        <w:t>工程设计中采用设计人自有专利或者专有技术的，按规定报相关职能部门审批同意后，其专利和专有技术费由发包人与设计人协商确定。</w:t>
      </w:r>
    </w:p>
    <w:p>
      <w:pPr>
        <w:numPr>
          <w:ilvl w:val="0"/>
          <w:numId w:val="15"/>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GB"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GB" w:eastAsia="zh-CN"/>
          <w14:textFill>
            <w14:solidFill>
              <w14:schemeClr w14:val="tx1"/>
            </w14:solidFill>
          </w14:textFill>
        </w:rPr>
        <w:t>工程设计中的引进技术需要境内设计人配合设计的，或者需要按照境外设计程序和技术质量要求由境内设计人进行设计的，工程设计费由发包人与设计人根据实际发生的设计工作量，报相关职能部门审核后协商确定。</w:t>
      </w:r>
    </w:p>
    <w:p>
      <w:pPr>
        <w:numPr>
          <w:ilvl w:val="0"/>
          <w:numId w:val="15"/>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GB"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GB" w:eastAsia="zh-CN"/>
          <w14:textFill>
            <w14:solidFill>
              <w14:schemeClr w14:val="tx1"/>
            </w14:solidFill>
          </w14:textFill>
        </w:rPr>
        <w:t>由境外设计人提供设计文件，需要境内设计人按照国家标准规范审核并签署确认意见的，按照国际对等原则或者实际发生的工作量，报相关职能部门审核后协商确定。</w:t>
      </w:r>
    </w:p>
    <w:p>
      <w:pPr>
        <w:numPr>
          <w:ilvl w:val="0"/>
          <w:numId w:val="15"/>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GB"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GB" w:eastAsia="zh-CN"/>
          <w14:textFill>
            <w14:solidFill>
              <w14:schemeClr w14:val="tx1"/>
            </w14:solidFill>
          </w14:textFill>
        </w:rPr>
        <w:t>设计人提供设计文件的标准份数，初步设计、总体设计分别为10份，施工图设计、非标准设备设计分别为8份。发包人要求增加设计文件份数的，由发包人另行支付印制设计文件工本费。工程设计中需要购买标准设计图的，由发包人支付购图费。</w:t>
      </w:r>
    </w:p>
    <w:p>
      <w:pPr>
        <w:numPr>
          <w:ilvl w:val="0"/>
          <w:numId w:val="15"/>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本</w:t>
      </w:r>
      <w:r>
        <w:rPr>
          <w:rFonts w:hint="eastAsia" w:asciiTheme="minorEastAsia" w:hAnsiTheme="minorEastAsia" w:eastAsiaTheme="minorEastAsia" w:cstheme="minorEastAsia"/>
          <w:color w:val="000000" w:themeColor="text1"/>
          <w:sz w:val="28"/>
          <w:highlight w:val="none"/>
          <w:lang w:val="en-GB" w:eastAsia="zh-CN"/>
          <w14:textFill>
            <w14:solidFill>
              <w14:schemeClr w14:val="tx1"/>
            </w14:solidFill>
          </w14:textFill>
        </w:rPr>
        <w:t>计费</w:t>
      </w: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计价不包含施工图预算编制费。如有特殊情况，需设计单位单独编制施工图预算的，编制费用参照工程造价咨询服务费标准。</w:t>
      </w:r>
    </w:p>
    <w:p>
      <w:pPr>
        <w:numPr>
          <w:ilvl w:val="0"/>
          <w:numId w:val="13"/>
        </w:numPr>
        <w:ind w:left="0" w:leftChars="0" w:firstLine="42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名词解释：</w:t>
      </w:r>
    </w:p>
    <w:p>
      <w:pPr>
        <w:numPr>
          <w:ilvl w:val="0"/>
          <w:numId w:val="17"/>
        </w:numPr>
        <w:spacing w:line="500" w:lineRule="exact"/>
        <w:ind w:left="0" w:leftChars="0" w:firstLine="640" w:firstLineChars="0"/>
        <w:rPr>
          <w:rFonts w:hint="eastAsia" w:asciiTheme="minorEastAsia" w:hAnsiTheme="minorEastAsia" w:cstheme="minorEastAsia"/>
          <w:color w:val="000000" w:themeColor="text1"/>
          <w:sz w:val="28"/>
          <w:highlight w:val="none"/>
          <w:lang w:val="en-GB" w:eastAsia="zh-CN"/>
          <w14:textFill>
            <w14:solidFill>
              <w14:schemeClr w14:val="tx1"/>
            </w14:solidFill>
          </w14:textFill>
        </w:rPr>
      </w:pPr>
      <w:r>
        <w:rPr>
          <w:rFonts w:hint="eastAsia" w:asciiTheme="minorEastAsia" w:hAnsiTheme="minorEastAsia" w:cstheme="minorEastAsia"/>
          <w:color w:val="000000" w:themeColor="text1"/>
          <w:sz w:val="28"/>
          <w:highlight w:val="none"/>
          <w:lang w:val="en-GB" w:eastAsia="zh-CN"/>
          <w14:textFill>
            <w14:solidFill>
              <w14:schemeClr w14:val="tx1"/>
            </w14:solidFill>
          </w14:textFill>
        </w:rPr>
        <w:t>工程设计</w:t>
      </w:r>
      <w:r>
        <w:rPr>
          <w:rFonts w:hint="eastAsia" w:asciiTheme="minorEastAsia" w:hAnsiTheme="minorEastAsia" w:cstheme="minorEastAsia"/>
          <w:color w:val="000000" w:themeColor="text1"/>
          <w:sz w:val="28"/>
          <w:highlight w:val="none"/>
          <w:lang w:val="en-US" w:eastAsia="zh-CN"/>
          <w14:textFill>
            <w14:solidFill>
              <w14:schemeClr w14:val="tx1"/>
            </w14:solidFill>
          </w14:textFill>
        </w:rPr>
        <w:t>服务</w:t>
      </w:r>
      <w:r>
        <w:rPr>
          <w:rFonts w:hint="eastAsia" w:asciiTheme="minorEastAsia" w:hAnsiTheme="minorEastAsia" w:cstheme="minorEastAsia"/>
          <w:color w:val="000000" w:themeColor="text1"/>
          <w:sz w:val="28"/>
          <w:highlight w:val="none"/>
          <w:lang w:val="en-GB" w:eastAsia="zh-CN"/>
          <w14:textFill>
            <w14:solidFill>
              <w14:schemeClr w14:val="tx1"/>
            </w14:solidFill>
          </w14:textFill>
        </w:rPr>
        <w:t>费：指设计人根据发包人的委托，编制建设项目方案设计文件、初步设计文件、施工图设计文件、非标准设备设计文件等服务所收取的费用。</w:t>
      </w:r>
    </w:p>
    <w:p>
      <w:pPr>
        <w:numPr>
          <w:ilvl w:val="0"/>
          <w:numId w:val="17"/>
        </w:numPr>
        <w:spacing w:line="500" w:lineRule="exact"/>
        <w:ind w:left="0" w:leftChars="0" w:firstLine="640" w:firstLineChars="0"/>
        <w:rPr>
          <w:rFonts w:hint="eastAsia" w:asciiTheme="minorEastAsia" w:hAnsiTheme="minorEastAsia" w:cstheme="minorEastAsia"/>
          <w:color w:val="000000" w:themeColor="text1"/>
          <w:sz w:val="28"/>
          <w:highlight w:val="none"/>
          <w:lang w:val="en-GB" w:eastAsia="zh-CN"/>
          <w14:textFill>
            <w14:solidFill>
              <w14:schemeClr w14:val="tx1"/>
            </w14:solidFill>
          </w14:textFill>
        </w:rPr>
      </w:pPr>
      <w:r>
        <w:rPr>
          <w:rFonts w:hint="eastAsia" w:asciiTheme="minorEastAsia" w:hAnsiTheme="minorEastAsia" w:cstheme="minorEastAsia"/>
          <w:color w:val="000000" w:themeColor="text1"/>
          <w:sz w:val="28"/>
          <w:highlight w:val="none"/>
          <w:lang w:val="en-GB" w:eastAsia="zh-CN"/>
          <w14:textFill>
            <w14:solidFill>
              <w14:schemeClr w14:val="tx1"/>
            </w14:solidFill>
          </w14:textFill>
        </w:rPr>
        <w:t>基本设计费：指在工程设计中提供编制初步设计文件、施工图设计文件收取的费用，并相应提供设计技术交底、解决施工中的设计技术问题、参加试车考核和竣工验收等服务。</w:t>
      </w:r>
    </w:p>
    <w:p>
      <w:pPr>
        <w:numPr>
          <w:ilvl w:val="0"/>
          <w:numId w:val="17"/>
        </w:numPr>
        <w:spacing w:line="500" w:lineRule="exact"/>
        <w:ind w:left="0" w:leftChars="0" w:firstLine="640" w:firstLineChars="0"/>
        <w:rPr>
          <w:rFonts w:hint="eastAsia" w:asciiTheme="minorEastAsia" w:hAnsiTheme="minorEastAsia" w:cstheme="minorEastAsia"/>
          <w:color w:val="000000" w:themeColor="text1"/>
          <w:sz w:val="28"/>
          <w:highlight w:val="none"/>
          <w:lang w:val="en-GB" w:eastAsia="zh-CN"/>
          <w14:textFill>
            <w14:solidFill>
              <w14:schemeClr w14:val="tx1"/>
            </w14:solidFill>
          </w14:textFill>
        </w:rPr>
      </w:pPr>
      <w:r>
        <w:rPr>
          <w:rFonts w:hint="eastAsia" w:asciiTheme="minorEastAsia" w:hAnsiTheme="minorEastAsia" w:cstheme="minorEastAsia"/>
          <w:color w:val="000000" w:themeColor="text1"/>
          <w:sz w:val="28"/>
          <w:highlight w:val="none"/>
          <w:lang w:val="en-GB" w:eastAsia="zh-CN"/>
          <w14:textFill>
            <w14:solidFill>
              <w14:schemeClr w14:val="tx1"/>
            </w14:solidFill>
          </w14:textFill>
        </w:rPr>
        <w:t>其他设计费：指根据工程设计实际需要或者发包人要求提供相关服务收取的费用，包括总体设计费、采用标准设计和复用设计费、非标准设备设计文件编制费等。</w:t>
      </w:r>
    </w:p>
    <w:p>
      <w:pPr>
        <w:numPr>
          <w:ilvl w:val="0"/>
          <w:numId w:val="17"/>
        </w:numPr>
        <w:spacing w:line="500" w:lineRule="exact"/>
        <w:ind w:left="0" w:leftChars="0" w:firstLine="640" w:firstLineChars="0"/>
        <w:rPr>
          <w:rFonts w:hint="eastAsia" w:asciiTheme="minorEastAsia" w:hAnsiTheme="minorEastAsia" w:cstheme="minorEastAsia"/>
          <w:color w:val="000000" w:themeColor="text1"/>
          <w:sz w:val="28"/>
          <w:highlight w:val="none"/>
          <w:lang w:val="en-GB" w:eastAsia="zh-CN"/>
          <w14:textFill>
            <w14:solidFill>
              <w14:schemeClr w14:val="tx1"/>
            </w14:solidFill>
          </w14:textFill>
        </w:rPr>
      </w:pPr>
      <w:r>
        <w:rPr>
          <w:rFonts w:hint="eastAsia" w:asciiTheme="minorEastAsia" w:hAnsiTheme="minorEastAsia" w:cstheme="minorEastAsia"/>
          <w:color w:val="000000" w:themeColor="text1"/>
          <w:sz w:val="28"/>
          <w:highlight w:val="none"/>
          <w:lang w:val="en-GB" w:eastAsia="zh-CN"/>
          <w14:textFill>
            <w14:solidFill>
              <w14:schemeClr w14:val="tx1"/>
            </w14:solidFill>
          </w14:textFill>
        </w:rPr>
        <w:t>工程设计费基价：</w:t>
      </w:r>
      <w:r>
        <w:rPr>
          <w:rFonts w:hint="eastAsia" w:asciiTheme="minorEastAsia" w:hAnsiTheme="minorEastAsia" w:cstheme="minorEastAsia"/>
          <w:color w:val="000000" w:themeColor="text1"/>
          <w:sz w:val="28"/>
          <w:highlight w:val="none"/>
          <w:lang w:val="en-US" w:eastAsia="zh-CN"/>
          <w14:textFill>
            <w14:solidFill>
              <w14:schemeClr w14:val="tx1"/>
            </w14:solidFill>
          </w14:textFill>
        </w:rPr>
        <w:t>指</w:t>
      </w:r>
      <w:r>
        <w:rPr>
          <w:rFonts w:hint="eastAsia" w:asciiTheme="minorEastAsia" w:hAnsiTheme="minorEastAsia" w:cstheme="minorEastAsia"/>
          <w:color w:val="000000" w:themeColor="text1"/>
          <w:sz w:val="28"/>
          <w:highlight w:val="none"/>
          <w:lang w:val="en-GB" w:eastAsia="zh-CN"/>
          <w14:textFill>
            <w14:solidFill>
              <w14:schemeClr w14:val="tx1"/>
            </w14:solidFill>
          </w14:textFill>
        </w:rPr>
        <w:t>完成基本服务的价格。</w:t>
      </w:r>
    </w:p>
    <w:p>
      <w:pPr>
        <w:numPr>
          <w:ilvl w:val="0"/>
          <w:numId w:val="17"/>
        </w:numPr>
        <w:spacing w:line="500" w:lineRule="exact"/>
        <w:ind w:left="0" w:leftChars="0" w:firstLine="640" w:firstLineChars="0"/>
        <w:rPr>
          <w:rFonts w:hint="eastAsia" w:asciiTheme="minorEastAsia" w:hAnsiTheme="minorEastAsia" w:cstheme="minorEastAsia"/>
          <w:color w:val="000000" w:themeColor="text1"/>
          <w:sz w:val="28"/>
          <w:highlight w:val="none"/>
          <w:lang w:val="en-GB" w:eastAsia="zh-CN"/>
          <w14:textFill>
            <w14:solidFill>
              <w14:schemeClr w14:val="tx1"/>
            </w14:solidFill>
          </w14:textFill>
        </w:rPr>
      </w:pPr>
      <w:r>
        <w:rPr>
          <w:rFonts w:hint="eastAsia" w:asciiTheme="minorEastAsia" w:hAnsiTheme="minorEastAsia" w:cstheme="minorEastAsia"/>
          <w:color w:val="000000" w:themeColor="text1"/>
          <w:sz w:val="28"/>
          <w:highlight w:val="none"/>
          <w:lang w:val="en-GB" w:eastAsia="zh-CN"/>
          <w14:textFill>
            <w14:solidFill>
              <w14:schemeClr w14:val="tx1"/>
            </w14:solidFill>
          </w14:textFill>
        </w:rPr>
        <w:t>工程设计费计费基数：</w:t>
      </w:r>
      <w:r>
        <w:rPr>
          <w:rFonts w:hint="eastAsia" w:asciiTheme="minorEastAsia" w:hAnsiTheme="minorEastAsia" w:cstheme="minorEastAsia"/>
          <w:color w:val="000000" w:themeColor="text1"/>
          <w:sz w:val="28"/>
          <w:highlight w:val="none"/>
          <w:lang w:val="en-US" w:eastAsia="zh-CN"/>
          <w14:textFill>
            <w14:solidFill>
              <w14:schemeClr w14:val="tx1"/>
            </w14:solidFill>
          </w14:textFill>
        </w:rPr>
        <w:t>指</w:t>
      </w:r>
      <w:r>
        <w:rPr>
          <w:rFonts w:hint="eastAsia" w:asciiTheme="minorEastAsia" w:hAnsiTheme="minorEastAsia" w:cstheme="minorEastAsia"/>
          <w:color w:val="000000" w:themeColor="text1"/>
          <w:sz w:val="28"/>
          <w:highlight w:val="none"/>
          <w:lang w:val="en-GB" w:eastAsia="zh-CN"/>
          <w14:textFill>
            <w14:solidFill>
              <w14:schemeClr w14:val="tx1"/>
            </w14:solidFill>
          </w14:textFill>
        </w:rPr>
        <w:t>经过批准的建设项目初步设计概算中的建筑安装工程费、设备与工器具购置费和联合试转运费之和。</w:t>
      </w:r>
    </w:p>
    <w:p>
      <w:pPr>
        <w:ind w:firstLine="42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ind w:firstLine="42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ind w:firstLine="42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ind w:firstLine="42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ind w:firstLine="42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ind w:firstLine="42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ind w:firstLine="42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ind w:firstLine="42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ind w:firstLine="42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ind w:firstLine="42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ind w:firstLine="42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ind w:firstLine="42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rPr>
          <w:rFonts w:hint="eastAsia" w:asciiTheme="minorEastAsia" w:hAnsiTheme="minorEastAsia" w:eastAsiaTheme="minorEastAsia" w:cstheme="minorEastAsia"/>
          <w:b/>
          <w:bCs/>
          <w:color w:val="000000" w:themeColor="text1"/>
          <w:sz w:val="24"/>
          <w:szCs w:val="24"/>
          <w:highlight w:val="none"/>
          <w:lang w:val="en-GB"/>
          <w14:textFill>
            <w14:solidFill>
              <w14:schemeClr w14:val="tx1"/>
            </w14:solidFill>
          </w14:textFill>
        </w:rPr>
      </w:pPr>
    </w:p>
    <w:p>
      <w:pPr>
        <w:rPr>
          <w:rFonts w:hint="eastAsia" w:asciiTheme="minorEastAsia" w:hAnsiTheme="minorEastAsia" w:eastAsiaTheme="minorEastAsia" w:cstheme="minorEastAsia"/>
          <w:b/>
          <w:bCs/>
          <w:color w:val="000000" w:themeColor="text1"/>
          <w:sz w:val="24"/>
          <w:szCs w:val="24"/>
          <w:highlight w:val="none"/>
          <w:lang w:val="en-GB"/>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lang w:val="en-GB"/>
          <w14:textFill>
            <w14:solidFill>
              <w14:schemeClr w14:val="tx1"/>
            </w14:solidFill>
          </w14:textFill>
        </w:rPr>
        <w:t>附表一</w:t>
      </w:r>
    </w:p>
    <w:p>
      <w:pPr>
        <w:jc w:val="center"/>
        <w:rPr>
          <w:rFonts w:hint="eastAsia" w:asciiTheme="minorEastAsia" w:hAnsiTheme="minorEastAsia" w:eastAsiaTheme="minorEastAsia" w:cstheme="minorEastAsia"/>
          <w:b/>
          <w:bCs/>
          <w:color w:val="000000" w:themeColor="text1"/>
          <w:sz w:val="24"/>
          <w:szCs w:val="24"/>
          <w:highlight w:val="none"/>
          <w:lang w:val="en-GB"/>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工程设计费基价表</w:t>
      </w:r>
    </w:p>
    <w:tbl>
      <w:tblPr>
        <w:tblStyle w:val="11"/>
        <w:tblpPr w:leftFromText="180" w:rightFromText="180" w:vertAnchor="text" w:tblpY="1"/>
        <w:tblOverlap w:val="never"/>
        <w:tblW w:w="8420" w:type="dxa"/>
        <w:tblInd w:w="93" w:type="dxa"/>
        <w:tblLayout w:type="fixed"/>
        <w:tblCellMar>
          <w:top w:w="0" w:type="dxa"/>
          <w:left w:w="108" w:type="dxa"/>
          <w:bottom w:w="0" w:type="dxa"/>
          <w:right w:w="108" w:type="dxa"/>
        </w:tblCellMar>
      </w:tblPr>
      <w:tblGrid>
        <w:gridCol w:w="1528"/>
        <w:gridCol w:w="3268"/>
        <w:gridCol w:w="3624"/>
      </w:tblGrid>
      <w:tr>
        <w:tblPrEx>
          <w:tblLayout w:type="fixed"/>
          <w:tblCellMar>
            <w:top w:w="0" w:type="dxa"/>
            <w:left w:w="108" w:type="dxa"/>
            <w:bottom w:w="0" w:type="dxa"/>
            <w:right w:w="108" w:type="dxa"/>
          </w:tblCellMar>
        </w:tblPrEx>
        <w:trPr>
          <w:trHeight w:val="426" w:hRule="atLeast"/>
        </w:trPr>
        <w:tc>
          <w:tcPr>
            <w:tcW w:w="1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序号</w:t>
            </w:r>
          </w:p>
        </w:tc>
        <w:tc>
          <w:tcPr>
            <w:tcW w:w="3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计费</w:t>
            </w: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基数</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（万元）</w:t>
            </w:r>
          </w:p>
        </w:tc>
        <w:tc>
          <w:tcPr>
            <w:tcW w:w="3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计</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费上限（万元）</w:t>
            </w:r>
          </w:p>
        </w:tc>
      </w:tr>
      <w:tr>
        <w:tblPrEx>
          <w:tblLayout w:type="fixed"/>
          <w:tblCellMar>
            <w:top w:w="0" w:type="dxa"/>
            <w:left w:w="108" w:type="dxa"/>
            <w:bottom w:w="0" w:type="dxa"/>
            <w:right w:w="108" w:type="dxa"/>
          </w:tblCellMar>
        </w:tblPrEx>
        <w:trPr>
          <w:trHeight w:val="426" w:hRule="atLeast"/>
        </w:trPr>
        <w:tc>
          <w:tcPr>
            <w:tcW w:w="1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w:t>
            </w:r>
          </w:p>
        </w:tc>
        <w:tc>
          <w:tcPr>
            <w:tcW w:w="326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200</w:t>
            </w:r>
          </w:p>
        </w:tc>
        <w:tc>
          <w:tcPr>
            <w:tcW w:w="3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7.2</w:t>
            </w:r>
          </w:p>
        </w:tc>
      </w:tr>
      <w:tr>
        <w:tblPrEx>
          <w:tblLayout w:type="fixed"/>
          <w:tblCellMar>
            <w:top w:w="0" w:type="dxa"/>
            <w:left w:w="108" w:type="dxa"/>
            <w:bottom w:w="0" w:type="dxa"/>
            <w:right w:w="108" w:type="dxa"/>
          </w:tblCellMar>
        </w:tblPrEx>
        <w:trPr>
          <w:trHeight w:val="426" w:hRule="atLeast"/>
        </w:trPr>
        <w:tc>
          <w:tcPr>
            <w:tcW w:w="1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w:t>
            </w:r>
          </w:p>
        </w:tc>
        <w:tc>
          <w:tcPr>
            <w:tcW w:w="326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500</w:t>
            </w:r>
          </w:p>
        </w:tc>
        <w:tc>
          <w:tcPr>
            <w:tcW w:w="3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16.73</w:t>
            </w:r>
          </w:p>
        </w:tc>
      </w:tr>
      <w:tr>
        <w:tblPrEx>
          <w:tblLayout w:type="fixed"/>
          <w:tblCellMar>
            <w:top w:w="0" w:type="dxa"/>
            <w:left w:w="108" w:type="dxa"/>
            <w:bottom w:w="0" w:type="dxa"/>
            <w:right w:w="108" w:type="dxa"/>
          </w:tblCellMar>
        </w:tblPrEx>
        <w:trPr>
          <w:trHeight w:val="426" w:hRule="atLeast"/>
        </w:trPr>
        <w:tc>
          <w:tcPr>
            <w:tcW w:w="1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3</w:t>
            </w:r>
          </w:p>
        </w:tc>
        <w:tc>
          <w:tcPr>
            <w:tcW w:w="326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1000</w:t>
            </w:r>
          </w:p>
        </w:tc>
        <w:tc>
          <w:tcPr>
            <w:tcW w:w="3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31.04</w:t>
            </w:r>
          </w:p>
        </w:tc>
      </w:tr>
      <w:tr>
        <w:tblPrEx>
          <w:tblLayout w:type="fixed"/>
          <w:tblCellMar>
            <w:top w:w="0" w:type="dxa"/>
            <w:left w:w="108" w:type="dxa"/>
            <w:bottom w:w="0" w:type="dxa"/>
            <w:right w:w="108" w:type="dxa"/>
          </w:tblCellMar>
        </w:tblPrEx>
        <w:trPr>
          <w:trHeight w:val="426" w:hRule="atLeast"/>
        </w:trPr>
        <w:tc>
          <w:tcPr>
            <w:tcW w:w="1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w:t>
            </w:r>
          </w:p>
        </w:tc>
        <w:tc>
          <w:tcPr>
            <w:tcW w:w="326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3000</w:t>
            </w:r>
          </w:p>
        </w:tc>
        <w:tc>
          <w:tcPr>
            <w:tcW w:w="3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72.66</w:t>
            </w:r>
          </w:p>
        </w:tc>
      </w:tr>
      <w:tr>
        <w:tblPrEx>
          <w:tblLayout w:type="fixed"/>
          <w:tblCellMar>
            <w:top w:w="0" w:type="dxa"/>
            <w:left w:w="108" w:type="dxa"/>
            <w:bottom w:w="0" w:type="dxa"/>
            <w:right w:w="108" w:type="dxa"/>
          </w:tblCellMar>
        </w:tblPrEx>
        <w:trPr>
          <w:trHeight w:val="426" w:hRule="atLeast"/>
        </w:trPr>
        <w:tc>
          <w:tcPr>
            <w:tcW w:w="1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5</w:t>
            </w:r>
          </w:p>
        </w:tc>
        <w:tc>
          <w:tcPr>
            <w:tcW w:w="326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5000</w:t>
            </w:r>
          </w:p>
        </w:tc>
        <w:tc>
          <w:tcPr>
            <w:tcW w:w="3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114.73</w:t>
            </w:r>
          </w:p>
        </w:tc>
      </w:tr>
      <w:tr>
        <w:tblPrEx>
          <w:tblLayout w:type="fixed"/>
          <w:tblCellMar>
            <w:top w:w="0" w:type="dxa"/>
            <w:left w:w="108" w:type="dxa"/>
            <w:bottom w:w="0" w:type="dxa"/>
            <w:right w:w="108" w:type="dxa"/>
          </w:tblCellMar>
        </w:tblPrEx>
        <w:trPr>
          <w:trHeight w:val="426" w:hRule="atLeast"/>
        </w:trPr>
        <w:tc>
          <w:tcPr>
            <w:tcW w:w="1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6</w:t>
            </w:r>
          </w:p>
        </w:tc>
        <w:tc>
          <w:tcPr>
            <w:tcW w:w="326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8000</w:t>
            </w:r>
          </w:p>
        </w:tc>
        <w:tc>
          <w:tcPr>
            <w:tcW w:w="3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174.72</w:t>
            </w:r>
          </w:p>
        </w:tc>
      </w:tr>
      <w:tr>
        <w:tblPrEx>
          <w:tblLayout w:type="fixed"/>
          <w:tblCellMar>
            <w:top w:w="0" w:type="dxa"/>
            <w:left w:w="108" w:type="dxa"/>
            <w:bottom w:w="0" w:type="dxa"/>
            <w:right w:w="108" w:type="dxa"/>
          </w:tblCellMar>
        </w:tblPrEx>
        <w:trPr>
          <w:trHeight w:val="426" w:hRule="atLeast"/>
        </w:trPr>
        <w:tc>
          <w:tcPr>
            <w:tcW w:w="1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7</w:t>
            </w:r>
          </w:p>
        </w:tc>
        <w:tc>
          <w:tcPr>
            <w:tcW w:w="326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10000</w:t>
            </w:r>
          </w:p>
        </w:tc>
        <w:tc>
          <w:tcPr>
            <w:tcW w:w="3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213.36</w:t>
            </w:r>
          </w:p>
        </w:tc>
      </w:tr>
      <w:tr>
        <w:tblPrEx>
          <w:tblLayout w:type="fixed"/>
          <w:tblCellMar>
            <w:top w:w="0" w:type="dxa"/>
            <w:left w:w="108" w:type="dxa"/>
            <w:bottom w:w="0" w:type="dxa"/>
            <w:right w:w="108" w:type="dxa"/>
          </w:tblCellMar>
        </w:tblPrEx>
        <w:trPr>
          <w:trHeight w:val="426" w:hRule="atLeast"/>
        </w:trPr>
        <w:tc>
          <w:tcPr>
            <w:tcW w:w="1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8</w:t>
            </w:r>
          </w:p>
        </w:tc>
        <w:tc>
          <w:tcPr>
            <w:tcW w:w="326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20000</w:t>
            </w:r>
          </w:p>
        </w:tc>
        <w:tc>
          <w:tcPr>
            <w:tcW w:w="3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396.76</w:t>
            </w:r>
          </w:p>
        </w:tc>
      </w:tr>
      <w:tr>
        <w:tblPrEx>
          <w:tblLayout w:type="fixed"/>
          <w:tblCellMar>
            <w:top w:w="0" w:type="dxa"/>
            <w:left w:w="108" w:type="dxa"/>
            <w:bottom w:w="0" w:type="dxa"/>
            <w:right w:w="108" w:type="dxa"/>
          </w:tblCellMar>
        </w:tblPrEx>
        <w:trPr>
          <w:trHeight w:val="426" w:hRule="atLeast"/>
        </w:trPr>
        <w:tc>
          <w:tcPr>
            <w:tcW w:w="1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9</w:t>
            </w:r>
          </w:p>
        </w:tc>
        <w:tc>
          <w:tcPr>
            <w:tcW w:w="326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40000</w:t>
            </w:r>
          </w:p>
        </w:tc>
        <w:tc>
          <w:tcPr>
            <w:tcW w:w="3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685.1</w:t>
            </w:r>
          </w:p>
        </w:tc>
      </w:tr>
      <w:tr>
        <w:tblPrEx>
          <w:tblLayout w:type="fixed"/>
          <w:tblCellMar>
            <w:top w:w="0" w:type="dxa"/>
            <w:left w:w="108" w:type="dxa"/>
            <w:bottom w:w="0" w:type="dxa"/>
            <w:right w:w="108" w:type="dxa"/>
          </w:tblCellMar>
        </w:tblPrEx>
        <w:trPr>
          <w:trHeight w:val="426" w:hRule="atLeast"/>
        </w:trPr>
        <w:tc>
          <w:tcPr>
            <w:tcW w:w="1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10</w:t>
            </w:r>
          </w:p>
        </w:tc>
        <w:tc>
          <w:tcPr>
            <w:tcW w:w="326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60000</w:t>
            </w:r>
          </w:p>
        </w:tc>
        <w:tc>
          <w:tcPr>
            <w:tcW w:w="3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984.88</w:t>
            </w:r>
          </w:p>
        </w:tc>
      </w:tr>
      <w:tr>
        <w:tblPrEx>
          <w:tblLayout w:type="fixed"/>
          <w:tblCellMar>
            <w:top w:w="0" w:type="dxa"/>
            <w:left w:w="108" w:type="dxa"/>
            <w:bottom w:w="0" w:type="dxa"/>
            <w:right w:w="108" w:type="dxa"/>
          </w:tblCellMar>
        </w:tblPrEx>
        <w:trPr>
          <w:trHeight w:val="426" w:hRule="atLeast"/>
        </w:trPr>
        <w:tc>
          <w:tcPr>
            <w:tcW w:w="1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11</w:t>
            </w:r>
          </w:p>
        </w:tc>
        <w:tc>
          <w:tcPr>
            <w:tcW w:w="326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80000</w:t>
            </w:r>
          </w:p>
        </w:tc>
        <w:tc>
          <w:tcPr>
            <w:tcW w:w="3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1274.07</w:t>
            </w:r>
          </w:p>
        </w:tc>
      </w:tr>
      <w:tr>
        <w:tblPrEx>
          <w:tblLayout w:type="fixed"/>
          <w:tblCellMar>
            <w:top w:w="0" w:type="dxa"/>
            <w:left w:w="108" w:type="dxa"/>
            <w:bottom w:w="0" w:type="dxa"/>
            <w:right w:w="108" w:type="dxa"/>
          </w:tblCellMar>
        </w:tblPrEx>
        <w:trPr>
          <w:trHeight w:val="426" w:hRule="atLeast"/>
        </w:trPr>
        <w:tc>
          <w:tcPr>
            <w:tcW w:w="1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12</w:t>
            </w:r>
          </w:p>
        </w:tc>
        <w:tc>
          <w:tcPr>
            <w:tcW w:w="326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100000</w:t>
            </w:r>
          </w:p>
        </w:tc>
        <w:tc>
          <w:tcPr>
            <w:tcW w:w="3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1555.71</w:t>
            </w:r>
          </w:p>
        </w:tc>
      </w:tr>
      <w:tr>
        <w:tblPrEx>
          <w:tblLayout w:type="fixed"/>
          <w:tblCellMar>
            <w:top w:w="0" w:type="dxa"/>
            <w:left w:w="108" w:type="dxa"/>
            <w:bottom w:w="0" w:type="dxa"/>
            <w:right w:w="108" w:type="dxa"/>
          </w:tblCellMar>
        </w:tblPrEx>
        <w:trPr>
          <w:trHeight w:val="426" w:hRule="atLeast"/>
        </w:trPr>
        <w:tc>
          <w:tcPr>
            <w:tcW w:w="1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13</w:t>
            </w:r>
          </w:p>
        </w:tc>
        <w:tc>
          <w:tcPr>
            <w:tcW w:w="326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200000</w:t>
            </w:r>
          </w:p>
        </w:tc>
        <w:tc>
          <w:tcPr>
            <w:tcW w:w="3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2893.02</w:t>
            </w:r>
          </w:p>
        </w:tc>
      </w:tr>
      <w:tr>
        <w:tblPrEx>
          <w:tblLayout w:type="fixed"/>
          <w:tblCellMar>
            <w:top w:w="0" w:type="dxa"/>
            <w:left w:w="108" w:type="dxa"/>
            <w:bottom w:w="0" w:type="dxa"/>
            <w:right w:w="108" w:type="dxa"/>
          </w:tblCellMar>
        </w:tblPrEx>
        <w:trPr>
          <w:trHeight w:val="426" w:hRule="atLeast"/>
        </w:trPr>
        <w:tc>
          <w:tcPr>
            <w:tcW w:w="1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14</w:t>
            </w:r>
          </w:p>
        </w:tc>
        <w:tc>
          <w:tcPr>
            <w:tcW w:w="326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400000</w:t>
            </w:r>
          </w:p>
        </w:tc>
        <w:tc>
          <w:tcPr>
            <w:tcW w:w="3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4966.02</w:t>
            </w:r>
          </w:p>
        </w:tc>
      </w:tr>
      <w:tr>
        <w:tblPrEx>
          <w:tblLayout w:type="fixed"/>
          <w:tblCellMar>
            <w:top w:w="0" w:type="dxa"/>
            <w:left w:w="108" w:type="dxa"/>
            <w:bottom w:w="0" w:type="dxa"/>
            <w:right w:w="108" w:type="dxa"/>
          </w:tblCellMar>
        </w:tblPrEx>
        <w:trPr>
          <w:trHeight w:val="426" w:hRule="atLeast"/>
        </w:trPr>
        <w:tc>
          <w:tcPr>
            <w:tcW w:w="1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15</w:t>
            </w:r>
          </w:p>
        </w:tc>
        <w:tc>
          <w:tcPr>
            <w:tcW w:w="326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600000</w:t>
            </w:r>
          </w:p>
        </w:tc>
        <w:tc>
          <w:tcPr>
            <w:tcW w:w="3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7138.5</w:t>
            </w:r>
          </w:p>
        </w:tc>
      </w:tr>
      <w:tr>
        <w:tblPrEx>
          <w:tblLayout w:type="fixed"/>
          <w:tblCellMar>
            <w:top w:w="0" w:type="dxa"/>
            <w:left w:w="108" w:type="dxa"/>
            <w:bottom w:w="0" w:type="dxa"/>
            <w:right w:w="108" w:type="dxa"/>
          </w:tblCellMar>
        </w:tblPrEx>
        <w:trPr>
          <w:trHeight w:val="426" w:hRule="atLeast"/>
        </w:trPr>
        <w:tc>
          <w:tcPr>
            <w:tcW w:w="1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16</w:t>
            </w:r>
          </w:p>
        </w:tc>
        <w:tc>
          <w:tcPr>
            <w:tcW w:w="326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800000</w:t>
            </w:r>
          </w:p>
        </w:tc>
        <w:tc>
          <w:tcPr>
            <w:tcW w:w="3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9234.84</w:t>
            </w:r>
          </w:p>
        </w:tc>
      </w:tr>
      <w:tr>
        <w:tblPrEx>
          <w:tblLayout w:type="fixed"/>
          <w:tblCellMar>
            <w:top w:w="0" w:type="dxa"/>
            <w:left w:w="108" w:type="dxa"/>
            <w:bottom w:w="0" w:type="dxa"/>
            <w:right w:w="108" w:type="dxa"/>
          </w:tblCellMar>
        </w:tblPrEx>
        <w:trPr>
          <w:trHeight w:val="426" w:hRule="atLeast"/>
        </w:trPr>
        <w:tc>
          <w:tcPr>
            <w:tcW w:w="1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17</w:t>
            </w:r>
          </w:p>
        </w:tc>
        <w:tc>
          <w:tcPr>
            <w:tcW w:w="326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1000000</w:t>
            </w:r>
          </w:p>
        </w:tc>
        <w:tc>
          <w:tcPr>
            <w:tcW w:w="3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11276.28</w:t>
            </w:r>
          </w:p>
        </w:tc>
      </w:tr>
      <w:tr>
        <w:tblPrEx>
          <w:tblLayout w:type="fixed"/>
          <w:tblCellMar>
            <w:top w:w="0" w:type="dxa"/>
            <w:left w:w="108" w:type="dxa"/>
            <w:bottom w:w="0" w:type="dxa"/>
            <w:right w:w="108" w:type="dxa"/>
          </w:tblCellMar>
        </w:tblPrEx>
        <w:trPr>
          <w:trHeight w:val="435" w:hRule="atLeast"/>
        </w:trPr>
        <w:tc>
          <w:tcPr>
            <w:tcW w:w="152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18</w:t>
            </w:r>
          </w:p>
        </w:tc>
        <w:tc>
          <w:tcPr>
            <w:tcW w:w="3268"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2000000</w:t>
            </w:r>
          </w:p>
        </w:tc>
        <w:tc>
          <w:tcPr>
            <w:tcW w:w="3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20969.93</w:t>
            </w:r>
          </w:p>
        </w:tc>
      </w:tr>
    </w:tbl>
    <w:p>
      <w:pPr>
        <w:widowControl/>
        <w:jc w:val="left"/>
        <w:rPr>
          <w:rFonts w:hint="eastAsia" w:asciiTheme="minorEastAsia" w:hAnsiTheme="minorEastAsia" w:eastAsiaTheme="minorEastAsia" w:cstheme="minorEastAsia"/>
          <w:color w:val="000000" w:themeColor="text1"/>
          <w:kern w:val="0"/>
          <w:sz w:val="22"/>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注：计费额小于200万元的，由建设单位与设计单位自行协商，</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计</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费不大于7.2万元；计费额大于2000000万元的，以计费额*1.04%的</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计</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费率计算</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计</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费基价。</w:t>
      </w:r>
      <w:r>
        <w:rPr>
          <w:rFonts w:hint="eastAsia" w:asciiTheme="minorEastAsia" w:hAnsiTheme="minorEastAsia" w:eastAsiaTheme="minorEastAsia" w:cstheme="minorEastAsia"/>
          <w:color w:val="000000" w:themeColor="text1"/>
          <w:kern w:val="0"/>
          <w:sz w:val="22"/>
          <w:highlight w:val="none"/>
          <w14:textFill>
            <w14:solidFill>
              <w14:schemeClr w14:val="tx1"/>
            </w14:solidFill>
          </w14:textFill>
        </w:rPr>
        <w:br w:type="textWrapping" w:clear="all"/>
      </w:r>
    </w:p>
    <w:p>
      <w:pPr>
        <w:widowControl/>
        <w:jc w:val="left"/>
        <w:rPr>
          <w:rFonts w:hint="eastAsia" w:asciiTheme="minorEastAsia" w:hAnsiTheme="minorEastAsia" w:eastAsiaTheme="minorEastAsia" w:cstheme="minorEastAsia"/>
          <w:color w:val="000000" w:themeColor="text1"/>
          <w:kern w:val="0"/>
          <w:sz w:val="22"/>
          <w:highlight w:val="none"/>
          <w14:textFill>
            <w14:solidFill>
              <w14:schemeClr w14:val="tx1"/>
            </w14:solidFill>
          </w14:textFill>
        </w:rPr>
      </w:pPr>
    </w:p>
    <w:p>
      <w:pPr>
        <w:widowControl/>
        <w:jc w:val="left"/>
        <w:rPr>
          <w:rFonts w:hint="eastAsia" w:asciiTheme="minorEastAsia" w:hAnsiTheme="minorEastAsia" w:eastAsiaTheme="minorEastAsia" w:cstheme="minorEastAsia"/>
          <w:color w:val="000000" w:themeColor="text1"/>
          <w:kern w:val="0"/>
          <w:sz w:val="22"/>
          <w:highlight w:val="none"/>
          <w14:textFill>
            <w14:solidFill>
              <w14:schemeClr w14:val="tx1"/>
            </w14:solidFill>
          </w14:textFill>
        </w:rPr>
      </w:pPr>
    </w:p>
    <w:p>
      <w:pPr>
        <w:widowControl/>
        <w:jc w:val="left"/>
        <w:rPr>
          <w:rFonts w:hint="eastAsia" w:asciiTheme="minorEastAsia" w:hAnsiTheme="minorEastAsia" w:eastAsiaTheme="minorEastAsia" w:cstheme="minorEastAsia"/>
          <w:b/>
          <w:color w:val="000000" w:themeColor="text1"/>
          <w:kern w:val="0"/>
          <w:sz w:val="22"/>
          <w:highlight w:val="none"/>
          <w14:textFill>
            <w14:solidFill>
              <w14:schemeClr w14:val="tx1"/>
            </w14:solidFill>
          </w14:textFill>
        </w:rPr>
      </w:pPr>
    </w:p>
    <w:p>
      <w:pPr>
        <w:widowControl/>
        <w:jc w:val="left"/>
        <w:rPr>
          <w:rFonts w:hint="eastAsia" w:asciiTheme="minorEastAsia" w:hAnsiTheme="minorEastAsia" w:eastAsiaTheme="minorEastAsia" w:cstheme="minorEastAsia"/>
          <w:b/>
          <w:color w:val="000000" w:themeColor="text1"/>
          <w:kern w:val="0"/>
          <w:sz w:val="22"/>
          <w:highlight w:val="none"/>
          <w14:textFill>
            <w14:solidFill>
              <w14:schemeClr w14:val="tx1"/>
            </w14:solidFill>
          </w14:textFill>
        </w:rPr>
      </w:pPr>
    </w:p>
    <w:p>
      <w:pPr>
        <w:widowControl/>
        <w:jc w:val="left"/>
        <w:rPr>
          <w:rFonts w:hint="eastAsia" w:asciiTheme="minorEastAsia" w:hAnsiTheme="minorEastAsia" w:eastAsiaTheme="minorEastAsia" w:cstheme="minorEastAsia"/>
          <w:b/>
          <w:color w:val="000000" w:themeColor="text1"/>
          <w:kern w:val="0"/>
          <w:sz w:val="22"/>
          <w:highlight w:val="none"/>
          <w14:textFill>
            <w14:solidFill>
              <w14:schemeClr w14:val="tx1"/>
            </w14:solidFill>
          </w14:textFill>
        </w:rPr>
      </w:pPr>
    </w:p>
    <w:p>
      <w:pPr>
        <w:widowControl/>
        <w:jc w:val="left"/>
        <w:rPr>
          <w:rFonts w:hint="eastAsia" w:asciiTheme="minorEastAsia" w:hAnsiTheme="minorEastAsia" w:eastAsiaTheme="minorEastAsia" w:cstheme="minorEastAsia"/>
          <w:b/>
          <w:color w:val="000000" w:themeColor="text1"/>
          <w:kern w:val="0"/>
          <w:sz w:val="22"/>
          <w:highlight w:val="none"/>
          <w14:textFill>
            <w14:solidFill>
              <w14:schemeClr w14:val="tx1"/>
            </w14:solidFill>
          </w14:textFill>
        </w:rPr>
      </w:pPr>
    </w:p>
    <w:p>
      <w:pPr>
        <w:widowControl/>
        <w:jc w:val="left"/>
        <w:rPr>
          <w:rFonts w:hint="eastAsia" w:asciiTheme="minorEastAsia" w:hAnsiTheme="minorEastAsia" w:eastAsiaTheme="minorEastAsia" w:cstheme="minorEastAsia"/>
          <w:b/>
          <w:color w:val="000000" w:themeColor="text1"/>
          <w:kern w:val="0"/>
          <w:sz w:val="22"/>
          <w:highlight w:val="none"/>
          <w14:textFill>
            <w14:solidFill>
              <w14:schemeClr w14:val="tx1"/>
            </w14:solidFill>
          </w14:textFill>
        </w:rPr>
      </w:pPr>
    </w:p>
    <w:p>
      <w:pPr>
        <w:widowControl/>
        <w:jc w:val="left"/>
        <w:rPr>
          <w:rFonts w:hint="eastAsia" w:asciiTheme="minorEastAsia" w:hAnsiTheme="minorEastAsia" w:eastAsiaTheme="minorEastAsia" w:cstheme="minorEastAsia"/>
          <w:b/>
          <w:color w:val="000000" w:themeColor="text1"/>
          <w:kern w:val="0"/>
          <w:sz w:val="22"/>
          <w:highlight w:val="none"/>
          <w14:textFill>
            <w14:solidFill>
              <w14:schemeClr w14:val="tx1"/>
            </w14:solidFill>
          </w14:textFill>
        </w:rPr>
      </w:pPr>
    </w:p>
    <w:p>
      <w:pPr>
        <w:widowControl/>
        <w:jc w:val="left"/>
        <w:rPr>
          <w:rFonts w:hint="eastAsia" w:asciiTheme="minorEastAsia" w:hAnsiTheme="minorEastAsia" w:eastAsiaTheme="minorEastAsia" w:cstheme="minorEastAsia"/>
          <w:b/>
          <w:color w:val="000000" w:themeColor="text1"/>
          <w:kern w:val="0"/>
          <w:sz w:val="22"/>
          <w:highlight w:val="none"/>
          <w14:textFill>
            <w14:solidFill>
              <w14:schemeClr w14:val="tx1"/>
            </w14:solidFill>
          </w14:textFill>
        </w:rPr>
      </w:pPr>
    </w:p>
    <w:p>
      <w:pPr>
        <w:widowControl/>
        <w:jc w:val="left"/>
        <w:rPr>
          <w:rFonts w:hint="eastAsia" w:asciiTheme="minorEastAsia" w:hAnsiTheme="minorEastAsia" w:eastAsiaTheme="minorEastAsia" w:cstheme="minorEastAsia"/>
          <w:b/>
          <w:color w:val="000000" w:themeColor="text1"/>
          <w:kern w:val="0"/>
          <w:sz w:val="22"/>
          <w:highlight w:val="none"/>
          <w14:textFill>
            <w14:solidFill>
              <w14:schemeClr w14:val="tx1"/>
            </w14:solidFill>
          </w14:textFill>
        </w:rPr>
      </w:pPr>
    </w:p>
    <w:p>
      <w:pPr>
        <w:widowControl/>
        <w:jc w:val="left"/>
        <w:rPr>
          <w:rFonts w:hint="eastAsia" w:asciiTheme="minorEastAsia" w:hAnsiTheme="minorEastAsia" w:eastAsiaTheme="minorEastAsia" w:cstheme="minorEastAsia"/>
          <w:b/>
          <w:color w:val="000000" w:themeColor="text1"/>
          <w:kern w:val="0"/>
          <w:sz w:val="22"/>
          <w:highlight w:val="none"/>
          <w14:textFill>
            <w14:solidFill>
              <w14:schemeClr w14:val="tx1"/>
            </w14:solidFill>
          </w14:textFill>
        </w:rPr>
      </w:pPr>
    </w:p>
    <w:p>
      <w:pPr>
        <w:widowControl/>
        <w:jc w:val="left"/>
        <w:rPr>
          <w:rFonts w:hint="eastAsia" w:asciiTheme="minorEastAsia" w:hAnsiTheme="minorEastAsia" w:eastAsiaTheme="minorEastAsia" w:cstheme="minorEastAsia"/>
          <w:b/>
          <w:color w:val="000000" w:themeColor="text1"/>
          <w:kern w:val="0"/>
          <w:sz w:val="22"/>
          <w:highlight w:val="none"/>
          <w14:textFill>
            <w14:solidFill>
              <w14:schemeClr w14:val="tx1"/>
            </w14:solidFill>
          </w14:textFill>
        </w:rPr>
      </w:pPr>
    </w:p>
    <w:p>
      <w:pPr>
        <w:widowControl/>
        <w:jc w:val="left"/>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pPr>
    </w:p>
    <w:p>
      <w:pPr>
        <w:widowControl/>
        <w:jc w:val="left"/>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t>附表二</w:t>
      </w:r>
    </w:p>
    <w:p>
      <w:pPr>
        <w:widowControl/>
        <w:jc w:val="center"/>
        <w:rPr>
          <w:rFonts w:hint="eastAsia" w:asciiTheme="minorEastAsia" w:hAnsiTheme="minorEastAsia" w:eastAsiaTheme="minorEastAsia" w:cstheme="minorEastAsia"/>
          <w:b/>
          <w:color w:val="000000" w:themeColor="text1"/>
          <w:kern w:val="0"/>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t>工程设计费专业调整系数表</w:t>
      </w:r>
    </w:p>
    <w:tbl>
      <w:tblPr>
        <w:tblStyle w:val="11"/>
        <w:tblW w:w="8880" w:type="dxa"/>
        <w:tblInd w:w="0" w:type="dxa"/>
        <w:tblLayout w:type="fixed"/>
        <w:tblCellMar>
          <w:top w:w="15" w:type="dxa"/>
          <w:left w:w="15" w:type="dxa"/>
          <w:bottom w:w="15" w:type="dxa"/>
          <w:right w:w="15" w:type="dxa"/>
        </w:tblCellMar>
      </w:tblPr>
      <w:tblGrid>
        <w:gridCol w:w="2160"/>
        <w:gridCol w:w="3750"/>
        <w:gridCol w:w="2970"/>
      </w:tblGrid>
      <w:tr>
        <w:tblPrEx>
          <w:tblLayout w:type="fixed"/>
          <w:tblCellMar>
            <w:top w:w="15" w:type="dxa"/>
            <w:left w:w="15" w:type="dxa"/>
            <w:bottom w:w="15" w:type="dxa"/>
            <w:right w:w="15" w:type="dxa"/>
          </w:tblCellMar>
        </w:tblPrEx>
        <w:trPr>
          <w:trHeight w:val="286" w:hRule="atLeast"/>
        </w:trPr>
        <w:tc>
          <w:tcPr>
            <w:tcW w:w="5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工程类别</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专业调整系数</w:t>
            </w:r>
          </w:p>
        </w:tc>
      </w:tr>
      <w:tr>
        <w:tblPrEx>
          <w:tblLayout w:type="fixed"/>
          <w:tblCellMar>
            <w:top w:w="15" w:type="dxa"/>
            <w:left w:w="15" w:type="dxa"/>
            <w:bottom w:w="15" w:type="dxa"/>
            <w:right w:w="15" w:type="dxa"/>
          </w:tblCellMar>
        </w:tblPrEx>
        <w:trPr>
          <w:trHeight w:val="286" w:hRule="atLeast"/>
        </w:trPr>
        <w:tc>
          <w:tcPr>
            <w:tcW w:w="216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房屋建筑工程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人防工程</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1.0</w:t>
            </w:r>
          </w:p>
        </w:tc>
      </w:tr>
      <w:tr>
        <w:tblPrEx>
          <w:tblLayout w:type="fixed"/>
          <w:tblCellMar>
            <w:top w:w="15" w:type="dxa"/>
            <w:left w:w="15" w:type="dxa"/>
            <w:bottom w:w="15" w:type="dxa"/>
            <w:right w:w="15" w:type="dxa"/>
          </w:tblCellMar>
        </w:tblPrEx>
        <w:trPr>
          <w:trHeight w:val="286" w:hRule="atLeast"/>
        </w:trPr>
        <w:tc>
          <w:tcPr>
            <w:tcW w:w="21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建筑与室外工程</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0.9</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 </w:t>
            </w:r>
          </w:p>
        </w:tc>
      </w:tr>
      <w:tr>
        <w:tblPrEx>
          <w:tblLayout w:type="fixed"/>
          <w:tblCellMar>
            <w:top w:w="15" w:type="dxa"/>
            <w:left w:w="15" w:type="dxa"/>
            <w:bottom w:w="15" w:type="dxa"/>
            <w:right w:w="15" w:type="dxa"/>
          </w:tblCellMar>
        </w:tblPrEx>
        <w:trPr>
          <w:trHeight w:val="286" w:hRule="atLeast"/>
        </w:trPr>
        <w:tc>
          <w:tcPr>
            <w:tcW w:w="21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住宅工程</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0.9</w:t>
            </w:r>
          </w:p>
        </w:tc>
      </w:tr>
      <w:tr>
        <w:tblPrEx>
          <w:tblLayout w:type="fixed"/>
          <w:tblCellMar>
            <w:top w:w="15" w:type="dxa"/>
            <w:left w:w="15" w:type="dxa"/>
            <w:bottom w:w="15" w:type="dxa"/>
            <w:right w:w="15" w:type="dxa"/>
          </w:tblCellMar>
        </w:tblPrEx>
        <w:trPr>
          <w:trHeight w:val="286" w:hRule="atLeast"/>
        </w:trPr>
        <w:tc>
          <w:tcPr>
            <w:tcW w:w="21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古建筑保护性建筑工程</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0.9</w:t>
            </w:r>
          </w:p>
        </w:tc>
      </w:tr>
      <w:tr>
        <w:tblPrEx>
          <w:tblLayout w:type="fixed"/>
          <w:tblCellMar>
            <w:top w:w="15" w:type="dxa"/>
            <w:left w:w="15" w:type="dxa"/>
            <w:bottom w:w="15" w:type="dxa"/>
            <w:right w:w="15" w:type="dxa"/>
          </w:tblCellMar>
        </w:tblPrEx>
        <w:trPr>
          <w:trHeight w:val="286" w:hRule="atLeast"/>
        </w:trPr>
        <w:tc>
          <w:tcPr>
            <w:tcW w:w="21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智能建筑弱电系统</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0.9</w:t>
            </w:r>
          </w:p>
        </w:tc>
      </w:tr>
      <w:tr>
        <w:tblPrEx>
          <w:tblLayout w:type="fixed"/>
          <w:tblCellMar>
            <w:top w:w="15" w:type="dxa"/>
            <w:left w:w="15" w:type="dxa"/>
            <w:bottom w:w="15" w:type="dxa"/>
            <w:right w:w="15" w:type="dxa"/>
          </w:tblCellMar>
        </w:tblPrEx>
        <w:trPr>
          <w:trHeight w:val="286" w:hRule="atLeast"/>
        </w:trPr>
        <w:tc>
          <w:tcPr>
            <w:tcW w:w="2160"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室内装修工程</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0.9</w:t>
            </w:r>
          </w:p>
        </w:tc>
      </w:tr>
      <w:tr>
        <w:tblPrEx>
          <w:tblLayout w:type="fixed"/>
          <w:tblCellMar>
            <w:top w:w="15" w:type="dxa"/>
            <w:left w:w="15" w:type="dxa"/>
            <w:bottom w:w="15" w:type="dxa"/>
            <w:right w:w="15" w:type="dxa"/>
          </w:tblCellMar>
        </w:tblPrEx>
        <w:trPr>
          <w:trHeight w:val="301" w:hRule="atLeast"/>
        </w:trPr>
        <w:tc>
          <w:tcPr>
            <w:tcW w:w="216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市政公用工程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地铁</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1.3</w:t>
            </w:r>
          </w:p>
        </w:tc>
      </w:tr>
      <w:tr>
        <w:tblPrEx>
          <w:tblLayout w:type="fixed"/>
          <w:tblCellMar>
            <w:top w:w="15" w:type="dxa"/>
            <w:left w:w="15" w:type="dxa"/>
            <w:bottom w:w="15" w:type="dxa"/>
            <w:right w:w="15" w:type="dxa"/>
          </w:tblCellMar>
        </w:tblPrEx>
        <w:trPr>
          <w:trHeight w:val="286" w:hRule="atLeast"/>
        </w:trPr>
        <w:tc>
          <w:tcPr>
            <w:tcW w:w="2160" w:type="dxa"/>
            <w:vMerge w:val="continue"/>
            <w:tcBorders>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桥梁、隧道</w:t>
            </w: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轻型轨道交通工程（含磁浮）</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1.1</w:t>
            </w:r>
          </w:p>
        </w:tc>
      </w:tr>
      <w:tr>
        <w:tblPrEx>
          <w:tblLayout w:type="fixed"/>
          <w:tblCellMar>
            <w:top w:w="15" w:type="dxa"/>
            <w:left w:w="15" w:type="dxa"/>
            <w:bottom w:w="15" w:type="dxa"/>
            <w:right w:w="15" w:type="dxa"/>
          </w:tblCellMar>
        </w:tblPrEx>
        <w:trPr>
          <w:trHeight w:val="286" w:hRule="atLeast"/>
        </w:trPr>
        <w:tc>
          <w:tcPr>
            <w:tcW w:w="2160" w:type="dxa"/>
            <w:vMerge w:val="continue"/>
            <w:tcBorders>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综合管廊工程</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1.1 </w:t>
            </w:r>
          </w:p>
        </w:tc>
      </w:tr>
      <w:tr>
        <w:tblPrEx>
          <w:tblLayout w:type="fixed"/>
          <w:tblCellMar>
            <w:top w:w="15" w:type="dxa"/>
            <w:left w:w="15" w:type="dxa"/>
            <w:bottom w:w="15" w:type="dxa"/>
            <w:right w:w="15" w:type="dxa"/>
          </w:tblCellMar>
        </w:tblPrEx>
        <w:trPr>
          <w:trHeight w:val="286" w:hRule="atLeast"/>
        </w:trPr>
        <w:tc>
          <w:tcPr>
            <w:tcW w:w="2160" w:type="dxa"/>
            <w:vMerge w:val="continue"/>
            <w:tcBorders>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电力、交通疏解及各类管线工程</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1.0 </w:t>
            </w:r>
          </w:p>
        </w:tc>
      </w:tr>
      <w:tr>
        <w:tblPrEx>
          <w:tblLayout w:type="fixed"/>
          <w:tblCellMar>
            <w:top w:w="15" w:type="dxa"/>
            <w:left w:w="15" w:type="dxa"/>
            <w:bottom w:w="15" w:type="dxa"/>
            <w:right w:w="15" w:type="dxa"/>
          </w:tblCellMar>
        </w:tblPrEx>
        <w:trPr>
          <w:trHeight w:val="286" w:hRule="atLeast"/>
        </w:trPr>
        <w:tc>
          <w:tcPr>
            <w:tcW w:w="2160" w:type="dxa"/>
            <w:vMerge w:val="continue"/>
            <w:tcBorders>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其他市政公用工程</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1.0</w:t>
            </w:r>
          </w:p>
        </w:tc>
      </w:tr>
      <w:tr>
        <w:tblPrEx>
          <w:tblLayout w:type="fixed"/>
          <w:tblCellMar>
            <w:top w:w="15" w:type="dxa"/>
            <w:left w:w="15" w:type="dxa"/>
            <w:bottom w:w="15" w:type="dxa"/>
            <w:right w:w="15" w:type="dxa"/>
          </w:tblCellMar>
        </w:tblPrEx>
        <w:trPr>
          <w:trHeight w:val="286" w:hRule="atLeast"/>
        </w:trPr>
        <w:tc>
          <w:tcPr>
            <w:tcW w:w="2160" w:type="dxa"/>
            <w:vMerge w:val="continue"/>
            <w:tcBorders>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停车场、公交站场</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0.8</w:t>
            </w:r>
          </w:p>
        </w:tc>
      </w:tr>
      <w:tr>
        <w:tblPrEx>
          <w:tblLayout w:type="fixed"/>
          <w:tblCellMar>
            <w:top w:w="15" w:type="dxa"/>
            <w:left w:w="15" w:type="dxa"/>
            <w:bottom w:w="15" w:type="dxa"/>
            <w:right w:w="15" w:type="dxa"/>
          </w:tblCellMar>
        </w:tblPrEx>
        <w:trPr>
          <w:trHeight w:val="286" w:hRule="atLeast"/>
        </w:trPr>
        <w:tc>
          <w:tcPr>
            <w:tcW w:w="216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城市道路、</w:t>
            </w: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单独施工的</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隔音屏</w:t>
            </w: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项目</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0.</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 </w:t>
            </w:r>
          </w:p>
        </w:tc>
      </w:tr>
      <w:tr>
        <w:tblPrEx>
          <w:tblLayout w:type="fixed"/>
          <w:tblCellMar>
            <w:top w:w="15" w:type="dxa"/>
            <w:left w:w="15" w:type="dxa"/>
            <w:bottom w:w="15" w:type="dxa"/>
            <w:right w:w="15" w:type="dxa"/>
          </w:tblCellMar>
        </w:tblPrEx>
        <w:trPr>
          <w:trHeight w:val="286" w:hRule="atLeast"/>
        </w:trPr>
        <w:tc>
          <w:tcPr>
            <w:tcW w:w="2160"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园林绿化工程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0.9</w:t>
            </w:r>
          </w:p>
        </w:tc>
      </w:tr>
      <w:tr>
        <w:tblPrEx>
          <w:tblLayout w:type="fixed"/>
          <w:tblCellMar>
            <w:top w:w="15" w:type="dxa"/>
            <w:left w:w="15" w:type="dxa"/>
            <w:bottom w:w="15" w:type="dxa"/>
            <w:right w:w="15" w:type="dxa"/>
          </w:tblCellMar>
        </w:tblPrEx>
        <w:trPr>
          <w:trHeight w:val="286"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水利水运工程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0.8 </w:t>
            </w:r>
          </w:p>
        </w:tc>
      </w:tr>
      <w:tr>
        <w:tblPrEx>
          <w:tblLayout w:type="fixed"/>
          <w:tblCellMar>
            <w:top w:w="15" w:type="dxa"/>
            <w:left w:w="15" w:type="dxa"/>
            <w:bottom w:w="15" w:type="dxa"/>
            <w:right w:w="15" w:type="dxa"/>
          </w:tblCellMar>
        </w:tblPrEx>
        <w:trPr>
          <w:trHeight w:val="286" w:hRule="atLeast"/>
        </w:trPr>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其他工程</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1.0</w:t>
            </w:r>
          </w:p>
        </w:tc>
      </w:tr>
    </w:tbl>
    <w:p>
      <w:pPr>
        <w:widowControl/>
        <w:ind w:firstLine="1760" w:firstLineChars="800"/>
        <w:jc w:val="left"/>
        <w:rPr>
          <w:rFonts w:hint="eastAsia" w:asciiTheme="minorEastAsia" w:hAnsiTheme="minorEastAsia" w:eastAsiaTheme="minorEastAsia" w:cstheme="minorEastAsia"/>
          <w:color w:val="000000" w:themeColor="text1"/>
          <w:kern w:val="0"/>
          <w:sz w:val="22"/>
          <w:highlight w:val="none"/>
          <w14:textFill>
            <w14:solidFill>
              <w14:schemeClr w14:val="tx1"/>
            </w14:solidFill>
          </w14:textFill>
        </w:rPr>
      </w:pPr>
    </w:p>
    <w:p>
      <w:pPr>
        <w:widowControl/>
        <w:ind w:firstLine="1760" w:firstLineChars="800"/>
        <w:jc w:val="left"/>
        <w:rPr>
          <w:rFonts w:hint="eastAsia" w:asciiTheme="minorEastAsia" w:hAnsiTheme="minorEastAsia" w:eastAsiaTheme="minorEastAsia" w:cstheme="minorEastAsia"/>
          <w:color w:val="000000" w:themeColor="text1"/>
          <w:kern w:val="0"/>
          <w:sz w:val="22"/>
          <w:highlight w:val="none"/>
          <w14:textFill>
            <w14:solidFill>
              <w14:schemeClr w14:val="tx1"/>
            </w14:solidFill>
          </w14:textFill>
        </w:rPr>
      </w:pPr>
    </w:p>
    <w:p>
      <w:pPr>
        <w:widowControl/>
        <w:ind w:firstLine="1760" w:firstLineChars="800"/>
        <w:jc w:val="left"/>
        <w:rPr>
          <w:rFonts w:hint="eastAsia" w:asciiTheme="minorEastAsia" w:hAnsiTheme="minorEastAsia" w:eastAsiaTheme="minorEastAsia" w:cstheme="minorEastAsia"/>
          <w:color w:val="000000" w:themeColor="text1"/>
          <w:kern w:val="0"/>
          <w:sz w:val="22"/>
          <w:highlight w:val="none"/>
          <w14:textFill>
            <w14:solidFill>
              <w14:schemeClr w14:val="tx1"/>
            </w14:solidFill>
          </w14:textFill>
        </w:rPr>
      </w:pPr>
    </w:p>
    <w:p>
      <w:pPr>
        <w:widowControl/>
        <w:ind w:firstLine="1760" w:firstLineChars="800"/>
        <w:jc w:val="left"/>
        <w:rPr>
          <w:rFonts w:hint="eastAsia" w:asciiTheme="minorEastAsia" w:hAnsiTheme="minorEastAsia" w:eastAsiaTheme="minorEastAsia" w:cstheme="minorEastAsia"/>
          <w:color w:val="000000" w:themeColor="text1"/>
          <w:kern w:val="0"/>
          <w:sz w:val="22"/>
          <w:highlight w:val="none"/>
          <w14:textFill>
            <w14:solidFill>
              <w14:schemeClr w14:val="tx1"/>
            </w14:solidFill>
          </w14:textFill>
        </w:rPr>
      </w:pPr>
    </w:p>
    <w:p>
      <w:pPr>
        <w:ind w:firstLine="361" w:firstLineChars="100"/>
        <w:jc w:val="left"/>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pPr>
    </w:p>
    <w:p>
      <w:pPr>
        <w:jc w:val="left"/>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sectPr>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p>
    <w:p>
      <w:pP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附表三</w:t>
      </w:r>
    </w:p>
    <w:p>
      <w:pPr>
        <w:jc w:val="cente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工程复杂程度系数表</w:t>
      </w:r>
    </w:p>
    <w:tbl>
      <w:tblPr>
        <w:tblStyle w:val="11"/>
        <w:tblW w:w="9614" w:type="dxa"/>
        <w:tblInd w:w="0" w:type="dxa"/>
        <w:tblLayout w:type="fixed"/>
        <w:tblCellMar>
          <w:top w:w="15" w:type="dxa"/>
          <w:left w:w="15" w:type="dxa"/>
          <w:bottom w:w="15" w:type="dxa"/>
          <w:right w:w="15" w:type="dxa"/>
        </w:tblCellMar>
      </w:tblPr>
      <w:tblGrid>
        <w:gridCol w:w="1530"/>
        <w:gridCol w:w="1561"/>
        <w:gridCol w:w="6523"/>
      </w:tblGrid>
      <w:tr>
        <w:tblPrEx>
          <w:tblLayout w:type="fixed"/>
          <w:tblCellMar>
            <w:top w:w="15" w:type="dxa"/>
            <w:left w:w="15" w:type="dxa"/>
            <w:bottom w:w="15" w:type="dxa"/>
            <w:right w:w="15" w:type="dxa"/>
          </w:tblCellMar>
        </w:tblPrEx>
        <w:trPr>
          <w:trHeight w:val="286" w:hRule="atLeast"/>
        </w:trPr>
        <w:tc>
          <w:tcPr>
            <w:tcW w:w="1530"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t>工程类别</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t>等级</w:t>
            </w:r>
          </w:p>
        </w:tc>
        <w:tc>
          <w:tcPr>
            <w:tcW w:w="6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t>工程设计条件</w:t>
            </w:r>
          </w:p>
        </w:tc>
      </w:tr>
      <w:tr>
        <w:tblPrEx>
          <w:tblLayout w:type="fixed"/>
          <w:tblCellMar>
            <w:top w:w="15" w:type="dxa"/>
            <w:left w:w="15" w:type="dxa"/>
            <w:bottom w:w="15" w:type="dxa"/>
            <w:right w:w="15" w:type="dxa"/>
          </w:tblCellMar>
        </w:tblPrEx>
        <w:trPr>
          <w:trHeight w:val="1891" w:hRule="atLeast"/>
        </w:trPr>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房屋建筑工程</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Ⅰ级</w:t>
            </w:r>
          </w:p>
        </w:tc>
        <w:tc>
          <w:tcPr>
            <w:tcW w:w="6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1、功能单一、技术要求简单的小型公共建筑工程                         2、高度＜24m的一般公共建筑工程                                3、小型仓储建筑工程                                           4、简单的设备用房及其他配套用房工程                           5、简单的建筑环境设计及室外工程                               6、相当于一星级饭店及以下标准的室内装修工程                         7、人防疏散干道、支干道及人防连接通道等人防配套工程</w:t>
            </w:r>
          </w:p>
        </w:tc>
      </w:tr>
      <w:tr>
        <w:tblPrEx>
          <w:tblLayout w:type="fixed"/>
          <w:tblCellMar>
            <w:top w:w="15" w:type="dxa"/>
            <w:left w:w="15" w:type="dxa"/>
            <w:bottom w:w="15" w:type="dxa"/>
            <w:right w:w="15" w:type="dxa"/>
          </w:tblCellMar>
        </w:tblPrEx>
        <w:trPr>
          <w:trHeight w:val="2431"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Ⅱ级</w:t>
            </w:r>
          </w:p>
        </w:tc>
        <w:tc>
          <w:tcPr>
            <w:tcW w:w="6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1.大中型公共建筑工程                         </w:t>
            </w:r>
          </w:p>
          <w:p>
            <w:pPr>
              <w:widowControl/>
              <w:jc w:val="left"/>
              <w:textAlignment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2.技术要求较复杂或有地区性意义的小型公共建筑工程                   3.高度24~50m的一般公共建筑工程                       </w:t>
            </w:r>
          </w:p>
          <w:p>
            <w:pPr>
              <w:widowControl/>
              <w:jc w:val="left"/>
              <w:textAlignment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4.20层以下一般标准的居住建筑工程                       </w:t>
            </w:r>
          </w:p>
          <w:p>
            <w:pPr>
              <w:widowControl/>
              <w:jc w:val="left"/>
              <w:textAlignment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5.仿古建筑、一般标准的古建筑、保护性建筑以及地下建筑工程                                                   6.大中型仓储建筑工程                                   </w:t>
            </w:r>
          </w:p>
          <w:p>
            <w:pPr>
              <w:widowControl/>
              <w:jc w:val="left"/>
              <w:textAlignment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7.一般标准的建筑环境设计和室外工程                       </w:t>
            </w:r>
          </w:p>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8.相当于二、三星级饭店标准的室内装修工程                           9.防护级别为四级及以下同时建筑面积＜10000㎡的人防工程</w:t>
            </w:r>
          </w:p>
        </w:tc>
      </w:tr>
      <w:tr>
        <w:tblPrEx>
          <w:tblLayout w:type="fixed"/>
          <w:tblCellMar>
            <w:top w:w="15" w:type="dxa"/>
            <w:left w:w="15" w:type="dxa"/>
            <w:bottom w:w="15" w:type="dxa"/>
            <w:right w:w="15" w:type="dxa"/>
          </w:tblCellMar>
        </w:tblPrEx>
        <w:trPr>
          <w:trHeight w:val="2701"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Ⅲ级</w:t>
            </w:r>
          </w:p>
        </w:tc>
        <w:tc>
          <w:tcPr>
            <w:tcW w:w="6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1、大型公共建筑工程                       </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             2、技术要求复杂或具有经济、文化、历史等意义的省（市）级中小型公共建筑工程                                      </w:t>
            </w:r>
          </w:p>
          <w:p>
            <w:pPr>
              <w:widowControl/>
              <w:jc w:val="left"/>
              <w:textAlignment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3、高度2＞50m的一般公共建筑工程                        </w:t>
            </w:r>
          </w:p>
          <w:p>
            <w:pPr>
              <w:widowControl/>
              <w:jc w:val="left"/>
              <w:textAlignment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4、20层以上居住建筑和20层及以下高标准居住建筑工程                    5、高标准的古建筑、保护性建筑以及地下建筑工程                                   6、高标准的建筑环境设计和室外工程                      </w:t>
            </w:r>
          </w:p>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7、相当于四、五星级饭店标准的室内装修工程 、特殊声学装修工程                                                  8、防护级别为三级及以上或者建筑面积＞10000㎡的人防工程</w:t>
            </w:r>
          </w:p>
        </w:tc>
      </w:tr>
      <w:tr>
        <w:tblPrEx>
          <w:tblLayout w:type="fixed"/>
          <w:tblCellMar>
            <w:top w:w="15" w:type="dxa"/>
            <w:left w:w="15" w:type="dxa"/>
            <w:bottom w:w="15" w:type="dxa"/>
            <w:right w:w="15" w:type="dxa"/>
          </w:tblCellMar>
        </w:tblPrEx>
        <w:trPr>
          <w:trHeight w:val="2431" w:hRule="atLeast"/>
        </w:trPr>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市政公用工程</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Ⅰ级</w:t>
            </w:r>
          </w:p>
        </w:tc>
        <w:tc>
          <w:tcPr>
            <w:tcW w:w="6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8"/>
              </w:numPr>
              <w:jc w:val="left"/>
              <w:textAlignment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总长＜1000m，水深＜15m，单孔跨径为30~50m的预应力混凝土简支梁，30~50m的预应力混凝土连续箱梁等大桥工程                             </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、地质构造简单，长度＜500m的隧道工程</w:t>
            </w:r>
          </w:p>
          <w:p>
            <w:pPr>
              <w:widowControl/>
              <w:numPr>
                <w:ilvl w:val="0"/>
                <w:numId w:val="0"/>
              </w:numPr>
              <w:jc w:val="left"/>
              <w:textAlignment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.庭院户内燃气管道工程                                                </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.一般给排水地下管线（DN小于1.0m无管线交叉）工程              </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.小型垃圾中转站，简易堆肥工程                           </w:t>
            </w:r>
          </w:p>
          <w:p>
            <w:pPr>
              <w:widowControl/>
              <w:jc w:val="left"/>
              <w:textAlignment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.供热小区管网（二级网）工程        </w:t>
            </w:r>
          </w:p>
          <w:p>
            <w:pPr>
              <w:widowControl/>
              <w:jc w:val="left"/>
              <w:textAlignment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路面改造</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工程</w:t>
            </w:r>
          </w:p>
          <w:p>
            <w:pPr>
              <w:widowControl/>
              <w:jc w:val="left"/>
              <w:textAlignment w:val="cente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8.隔音屏</w:t>
            </w:r>
          </w:p>
        </w:tc>
      </w:tr>
      <w:tr>
        <w:tblPrEx>
          <w:tblLayout w:type="fixed"/>
          <w:tblCellMar>
            <w:top w:w="15" w:type="dxa"/>
            <w:left w:w="15" w:type="dxa"/>
            <w:bottom w:w="15" w:type="dxa"/>
            <w:right w:w="15" w:type="dxa"/>
          </w:tblCellMar>
        </w:tblPrEx>
        <w:trPr>
          <w:trHeight w:val="3511"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Ⅱ级</w:t>
            </w:r>
          </w:p>
        </w:tc>
        <w:tc>
          <w:tcPr>
            <w:tcW w:w="6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、城市街区道路、次干路</w:t>
            </w: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停车场、公交站场</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工程                                                                </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、总长＞1000m，水深＞15m，单孔跨径为30~50m的预应力混凝土简支梁，30~50m的预应力混凝土连续箱梁等大桥工程                             </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、地质构造简单，长度在500~1000m的隧道工程                         </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、城市立交桥、人行天桥、地下通道、涵洞工程             </w:t>
            </w:r>
          </w:p>
          <w:p>
            <w:pPr>
              <w:widowControl/>
              <w:jc w:val="left"/>
              <w:textAlignment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、城市调压站，瓶组站，＜5000户气化站、混气站，＜500m³储配站工程                                                  </w:t>
            </w:r>
          </w:p>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、城区非排水管线，一般地下管线（DN＜1.0m，有管线交叉），＜1m³/s加压泵站，简单构筑物工程                                   </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、大于100t/天的大型垃圾中转站，垃圾填埋场、机械化快速堆肥工程                                                                 </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、≤2MW的小型换热站工程                              </w:t>
            </w:r>
          </w:p>
        </w:tc>
      </w:tr>
      <w:tr>
        <w:tblPrEx>
          <w:tblLayout w:type="fixed"/>
          <w:tblCellMar>
            <w:top w:w="15" w:type="dxa"/>
            <w:left w:w="15" w:type="dxa"/>
            <w:bottom w:w="15" w:type="dxa"/>
            <w:right w:w="15" w:type="dxa"/>
          </w:tblCellMar>
        </w:tblPrEx>
        <w:trPr>
          <w:trHeight w:val="4316"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Ⅲ级</w:t>
            </w:r>
          </w:p>
        </w:tc>
        <w:tc>
          <w:tcPr>
            <w:tcW w:w="6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、城市主干路、快速路、城市地铁、轻轨、综合管廊、广场工程                                                               </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、总长＞1000m，水深＞15m，单孔跨径为＞250m的预应力混凝土连续结构和钢筋混凝土拱桥，跨度400~1000的斜拉桥、800~1500m的悬索桥等大桥工程                             </w:t>
            </w:r>
          </w:p>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、地质构造简单，长度在＞1000m的隧道工程                            </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、全苜蓿叶、双喇叭型、枢纽型等各类独立的互通式立体交叉工程                                                             </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、城市超高压调压站，市内管线及加压站，穿、跨越官网，≥5000户气化站、混气站，≥500m³储配站、门站、气源厂、加气站工程                                                       </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6</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、大型复杂给排水管线、市政管网、大型泵站、水闸等构筑物、净水厂、污水处理厂工程                                                     </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、垃圾系统工程及综合处理与利用、焚烧工程                             </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、锅炉房、穿、跨越供热管网，＞2MW换热站工程                                                                  </w:t>
            </w:r>
          </w:p>
        </w:tc>
      </w:tr>
      <w:tr>
        <w:tblPrEx>
          <w:tblLayout w:type="fixed"/>
          <w:tblCellMar>
            <w:top w:w="15" w:type="dxa"/>
            <w:left w:w="15" w:type="dxa"/>
            <w:bottom w:w="15" w:type="dxa"/>
            <w:right w:w="15" w:type="dxa"/>
          </w:tblCellMar>
        </w:tblPrEx>
        <w:trPr>
          <w:trHeight w:val="301" w:hRule="atLeast"/>
        </w:trPr>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园林绿化</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Ⅰ级</w:t>
            </w:r>
          </w:p>
        </w:tc>
        <w:tc>
          <w:tcPr>
            <w:tcW w:w="6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1、一般标准的道路绿化工程                                                         2、片林、风景林等工程</w:t>
            </w:r>
          </w:p>
        </w:tc>
      </w:tr>
      <w:tr>
        <w:tblPrEx>
          <w:tblLayout w:type="fixed"/>
          <w:tblCellMar>
            <w:top w:w="15" w:type="dxa"/>
            <w:left w:w="15" w:type="dxa"/>
            <w:bottom w:w="15" w:type="dxa"/>
            <w:right w:w="15" w:type="dxa"/>
          </w:tblCellMar>
        </w:tblPrEx>
        <w:trPr>
          <w:trHeight w:val="301"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Ⅱ级</w:t>
            </w:r>
          </w:p>
        </w:tc>
        <w:tc>
          <w:tcPr>
            <w:tcW w:w="6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1、标准较高的道路绿化工程                                          2、一般标准的风景区、公共建筑环境、企事业单位与居住区的绿化工程</w:t>
            </w:r>
          </w:p>
        </w:tc>
      </w:tr>
      <w:tr>
        <w:tblPrEx>
          <w:tblLayout w:type="fixed"/>
          <w:tblCellMar>
            <w:top w:w="15" w:type="dxa"/>
            <w:left w:w="15" w:type="dxa"/>
            <w:bottom w:w="15" w:type="dxa"/>
            <w:right w:w="15" w:type="dxa"/>
          </w:tblCellMar>
        </w:tblPrEx>
        <w:trPr>
          <w:trHeight w:val="301"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Ⅲ级</w:t>
            </w:r>
          </w:p>
        </w:tc>
        <w:tc>
          <w:tcPr>
            <w:tcW w:w="6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1、高标准的城市重点道路绿化工程                                        2、高标准的风景区、公共建筑环境、企事业单位与居住区的绿化工程                                                                     3、公园、度假村、高尔夫球场、广场、街心花园、园林小品、屋顶花园、室内花园等绿化工程</w:t>
            </w:r>
          </w:p>
        </w:tc>
      </w:tr>
      <w:tr>
        <w:tblPrEx>
          <w:tblLayout w:type="fixed"/>
          <w:tblCellMar>
            <w:top w:w="15" w:type="dxa"/>
            <w:left w:w="15" w:type="dxa"/>
            <w:bottom w:w="15" w:type="dxa"/>
            <w:right w:w="15" w:type="dxa"/>
          </w:tblCellMar>
        </w:tblPrEx>
        <w:trPr>
          <w:trHeight w:val="1891" w:hRule="atLeast"/>
        </w:trPr>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水利水运工程</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Ⅰ级</w:t>
            </w:r>
          </w:p>
        </w:tc>
        <w:tc>
          <w:tcPr>
            <w:tcW w:w="6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1.丘陵、山区、沙漠地区的建筑物投资之和与建设项目中所有建筑物投资之和的比例＜30%的引调水建筑物工程           </w:t>
            </w:r>
          </w:p>
          <w:p>
            <w:pPr>
              <w:widowControl/>
              <w:jc w:val="left"/>
              <w:textAlignment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2.丘陵、山区、沙漠地区渠道管线长度和与建设项目中所有渠道管线长度之和的比例＜30%的引调水渠道管线工程           </w:t>
            </w:r>
          </w:p>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3.堤防等级Ⅴ级的河道治理建（构）筑物级河道堤防工程                   4.灌区田间工程                                                     5.水土保持工程</w:t>
            </w:r>
          </w:p>
        </w:tc>
      </w:tr>
      <w:tr>
        <w:tblPrEx>
          <w:tblLayout w:type="fixed"/>
          <w:tblCellMar>
            <w:top w:w="15" w:type="dxa"/>
            <w:left w:w="15" w:type="dxa"/>
            <w:bottom w:w="15" w:type="dxa"/>
            <w:right w:w="15" w:type="dxa"/>
          </w:tblCellMar>
        </w:tblPrEx>
        <w:trPr>
          <w:trHeight w:val="1351"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Ⅱ级</w:t>
            </w:r>
          </w:p>
        </w:tc>
        <w:tc>
          <w:tcPr>
            <w:tcW w:w="6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1、丘陵、山区、沙漠地区的建筑物投资之和与建设项目中所有建筑物投资之和的比例30%~60%的引调水建筑物工程             </w:t>
            </w:r>
          </w:p>
          <w:p>
            <w:pPr>
              <w:widowControl/>
              <w:jc w:val="left"/>
              <w:textAlignment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2、丘陵、山区、沙漠地区渠道管线长度和与建设项目中所有渠道管线长度之和的比例30%~60%的引调水渠道管线工程           </w:t>
            </w:r>
          </w:p>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3、堤防等级Ⅴ级的河道治理建（构）筑物级河道堤防工程</w:t>
            </w:r>
          </w:p>
        </w:tc>
      </w:tr>
      <w:tr>
        <w:tblPrEx>
          <w:tblLayout w:type="fixed"/>
          <w:tblCellMar>
            <w:top w:w="15" w:type="dxa"/>
            <w:left w:w="15" w:type="dxa"/>
            <w:bottom w:w="15" w:type="dxa"/>
            <w:right w:w="15" w:type="dxa"/>
          </w:tblCellMar>
        </w:tblPrEx>
        <w:trPr>
          <w:trHeight w:val="1891"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Ⅲ级</w:t>
            </w:r>
          </w:p>
        </w:tc>
        <w:tc>
          <w:tcPr>
            <w:tcW w:w="6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1、丘陵、山区、沙漠地区的建筑物投资之和与建设项目中所有建筑物投资之和的比例＞60%的引调水建筑物工程               </w:t>
            </w:r>
          </w:p>
          <w:p>
            <w:pPr>
              <w:widowControl/>
              <w:jc w:val="left"/>
              <w:textAlignment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2、丘陵、山区、沙漠地区渠道管线长度和与建设项目中所有渠道管线长度之和的比例大于60%的引调水渠道管线工程           </w:t>
            </w:r>
          </w:p>
          <w:p>
            <w:pPr>
              <w:widowControl/>
              <w:jc w:val="left"/>
              <w:textAlignment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 xml:space="preserve">3、堤防等级Ⅰ、Ⅱ级的河道治理建（构）筑物级河道堤防工程  </w:t>
            </w:r>
          </w:p>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4、护岸、防波堤、围堰、人工岛、围垦工程、城镇防洪、河口整治工程</w:t>
            </w:r>
          </w:p>
        </w:tc>
      </w:tr>
    </w:tbl>
    <w:p>
      <w:pPr>
        <w:ind w:firstLine="240" w:firstLineChars="100"/>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注：大型建筑工程指20001㎡以上的建筑，大中型指5001~20000㎡的建筑，小型指5000㎡以下的建筑。</w:t>
      </w:r>
    </w:p>
    <w:p>
      <w:pPr>
        <w:rPr>
          <w:rFonts w:hint="eastAsia" w:asciiTheme="minorEastAsia" w:hAnsiTheme="minorEastAsia" w:eastAsiaTheme="minorEastAsia" w:cstheme="minorEastAsia"/>
          <w:b/>
          <w:color w:val="000000" w:themeColor="text1"/>
          <w:sz w:val="28"/>
          <w:szCs w:val="28"/>
          <w:highlight w:val="none"/>
          <w:lang w:val="en-US" w:eastAsia="zh-CN"/>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附表四</w:t>
      </w:r>
    </w:p>
    <w:p>
      <w:pPr>
        <w:rPr>
          <w:rFonts w:hint="eastAsia" w:asciiTheme="minorEastAsia" w:hAnsiTheme="minorEastAsia" w:eastAsiaTheme="minorEastAsia" w:cstheme="minorEastAsia"/>
          <w:b/>
          <w:color w:val="000000" w:themeColor="text1"/>
          <w:sz w:val="22"/>
          <w:highlight w:val="none"/>
          <w14:textFill>
            <w14:solidFill>
              <w14:schemeClr w14:val="tx1"/>
            </w14:solidFill>
          </w14:textFill>
        </w:rPr>
      </w:pPr>
    </w:p>
    <w:p>
      <w:pPr>
        <w:jc w:val="cente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非标准设备设计费率表</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6292"/>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tcPr>
          <w:p>
            <w:pPr>
              <w:spacing w:beforeLines="50" w:afterLines="50" w:line="30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类别</w:t>
            </w:r>
          </w:p>
        </w:tc>
        <w:tc>
          <w:tcPr>
            <w:tcW w:w="6292" w:type="dxa"/>
          </w:tcPr>
          <w:p>
            <w:pPr>
              <w:spacing w:beforeLines="50" w:afterLines="50" w:line="30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非标准设备分类</w:t>
            </w:r>
          </w:p>
        </w:tc>
        <w:tc>
          <w:tcPr>
            <w:tcW w:w="1313" w:type="dxa"/>
          </w:tcPr>
          <w:p>
            <w:pPr>
              <w:spacing w:line="30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费率</w:t>
            </w:r>
          </w:p>
          <w:p>
            <w:pPr>
              <w:spacing w:line="30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tcPr>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44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一般</w:t>
            </w:r>
          </w:p>
        </w:tc>
        <w:tc>
          <w:tcPr>
            <w:tcW w:w="6292" w:type="dxa"/>
          </w:tcPr>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技术一般的非标准设备，主要包括：</w:t>
            </w: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1.单体设备类：槽、罐、池、箱、斗、架、台、常压容器、换热器、铅烟除尘、恒温油浴及无传动的简单装置；</w:t>
            </w: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2.室类：红外线干燥室、热风循环干燥室、浸漆干燥室、套管干燥室、极板干燥室、隧道式干燥室、蒸汽硬化室、油漆干燥室、木材干燥室</w:t>
            </w:r>
          </w:p>
        </w:tc>
        <w:tc>
          <w:tcPr>
            <w:tcW w:w="1313" w:type="dxa"/>
          </w:tcPr>
          <w:p>
            <w:pPr>
              <w:spacing w:line="44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44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44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tcPr>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44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较复杂</w:t>
            </w:r>
          </w:p>
        </w:tc>
        <w:tc>
          <w:tcPr>
            <w:tcW w:w="6292" w:type="dxa"/>
          </w:tcPr>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技术较复杂的非标准设备，主要包括：</w:t>
            </w: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1.室类：喷砂室、静电喷漆室；</w:t>
            </w: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2.窑类：隧道窑、倒焰窑、抽屉窑、蒸笼窑、辊道窑；</w:t>
            </w: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3.炉类：冷、热风冲天炉、加热炉、反射炉、退火炉、淬火炉、锻烧炉、坩锅炉、氢气炉、石墨化炉、室式加热炉、砂芯烘干炉、干燥炉、亚胺化炉、还氧铅炉、真空热处理炉、气氛炉、空气循环炉、电炉；</w:t>
            </w: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4.塔器类：Ⅰ、Ⅱ类压力容器、换热器、通信铁塔；</w:t>
            </w: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5.自动控制类：屏、柜、台、箱等电控、仪控设备、电力拖动、热工调节设备；</w:t>
            </w: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6.通信类：余热利用、精铸、热工、除渣、喷煤、喷粉设备、压力加工、钣材、型材加工设备、喷丸强化机、清洗机；</w:t>
            </w: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7.水工类：浮船坞、坞门、闸门、船舶下水设备、升船机设备；</w:t>
            </w: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8.试验类：航空发动机试车台、中小型模拟试验设备</w:t>
            </w:r>
          </w:p>
        </w:tc>
        <w:tc>
          <w:tcPr>
            <w:tcW w:w="1313" w:type="dxa"/>
          </w:tcPr>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tcPr>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44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复杂</w:t>
            </w:r>
          </w:p>
        </w:tc>
        <w:tc>
          <w:tcPr>
            <w:tcW w:w="6292" w:type="dxa"/>
          </w:tcPr>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技术复杂的非标准设备，主要包括：</w:t>
            </w: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1．室类：屏蔽室、屏蔽暗室；</w:t>
            </w: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2．窑类：熔窑、成型窑、退火窑、回转窑；</w:t>
            </w: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3．炉类：闪速炉、专用电炉、单晶炉、多晶炉、沸腾炉、反应炉、裂解炉、大型复杂的热处理炉、炉外真空精炼设备；</w:t>
            </w: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4．塔器类：Ⅲ类压力容器、反应釜、真空罐、发酵罐、喷雾干燥塔、低温冷冻、高温高压设备、核承压设备及容器、广播电视塔桅杆、天馈线设备；</w:t>
            </w: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5．通用类：组合机床、数控机床、精密机床、专用机床、特种起重机、特种升降机、高货位立体仓贮设备、胶接固化装置、电镀设备、自动、半自动生产线；</w:t>
            </w: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6.环保类：环境污染防治、消烟除尘、回收装置；</w:t>
            </w: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7.试验类：大型模拟试验设备、风洞高空台、模拟环境试验设备</w:t>
            </w:r>
          </w:p>
        </w:tc>
        <w:tc>
          <w:tcPr>
            <w:tcW w:w="1313" w:type="dxa"/>
          </w:tcPr>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p>
            <w:pPr>
              <w:spacing w:line="44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12.6</w:t>
            </w:r>
          </w:p>
        </w:tc>
      </w:tr>
    </w:tbl>
    <w:p>
      <w:pPr>
        <w:spacing w:line="440" w:lineRule="exac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注：1.新研制并首次投入工业化生产的非标准标准设备。乘以1.3的调整系数计算</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费用</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p>
      <w:pPr>
        <w:spacing w:line="440" w:lineRule="exact"/>
        <w:ind w:left="0" w:leftChars="0" w:firstLine="420" w:firstLineChars="175"/>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2.多台（套）相同的非标准设备，自第二台（套）起乘以0.3的调整系数计算</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费用</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p>
    <w:p>
      <w:pPr>
        <w:spacing w:line="440" w:lineRule="exact"/>
        <w:ind w:firstLine="435"/>
        <w:rPr>
          <w:rFonts w:hint="eastAsia" w:asciiTheme="minorEastAsia" w:hAnsiTheme="minorEastAsia" w:eastAsiaTheme="minorEastAsia" w:cstheme="minorEastAsia"/>
          <w:color w:val="000000" w:themeColor="text1"/>
          <w:sz w:val="22"/>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2"/>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2"/>
          <w:highlight w:val="none"/>
          <w:lang w:val="en-US" w:eastAsia="zh-CN"/>
          <w14:textFill>
            <w14:solidFill>
              <w14:schemeClr w14:val="tx1"/>
            </w14:solidFill>
          </w14:textFill>
        </w:rPr>
        <w:br w:type="page"/>
      </w:r>
    </w:p>
    <w:p>
      <w:pP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附表五</w:t>
      </w:r>
    </w:p>
    <w:tbl>
      <w:tblPr>
        <w:tblStyle w:val="11"/>
        <w:tblW w:w="8336" w:type="dxa"/>
        <w:tblInd w:w="0" w:type="dxa"/>
        <w:tblLayout w:type="fixed"/>
        <w:tblCellMar>
          <w:top w:w="15" w:type="dxa"/>
          <w:left w:w="15" w:type="dxa"/>
          <w:bottom w:w="15" w:type="dxa"/>
          <w:right w:w="15" w:type="dxa"/>
        </w:tblCellMar>
      </w:tblPr>
      <w:tblGrid>
        <w:gridCol w:w="1492"/>
        <w:gridCol w:w="1563"/>
        <w:gridCol w:w="1561"/>
        <w:gridCol w:w="1228"/>
        <w:gridCol w:w="1003"/>
        <w:gridCol w:w="1489"/>
      </w:tblGrid>
      <w:tr>
        <w:tblPrEx>
          <w:tblLayout w:type="fixed"/>
          <w:tblCellMar>
            <w:top w:w="15" w:type="dxa"/>
            <w:left w:w="15" w:type="dxa"/>
            <w:bottom w:w="15" w:type="dxa"/>
            <w:right w:w="15" w:type="dxa"/>
          </w:tblCellMar>
        </w:tblPrEx>
        <w:trPr>
          <w:trHeight w:val="480" w:hRule="atLeast"/>
        </w:trPr>
        <w:tc>
          <w:tcPr>
            <w:tcW w:w="1492" w:type="dxa"/>
            <w:shd w:val="clear" w:color="auto" w:fill="auto"/>
            <w:vAlign w:val="center"/>
          </w:tcPr>
          <w:p>
            <w:pPr>
              <w:rPr>
                <w:rFonts w:hint="eastAsia" w:asciiTheme="minorEastAsia" w:hAnsiTheme="minorEastAsia" w:eastAsiaTheme="minorEastAsia" w:cstheme="minorEastAsia"/>
                <w:color w:val="000000" w:themeColor="text1"/>
                <w:sz w:val="22"/>
                <w:highlight w:val="none"/>
                <w14:textFill>
                  <w14:solidFill>
                    <w14:schemeClr w14:val="tx1"/>
                  </w14:solidFill>
                </w14:textFill>
              </w:rPr>
            </w:pPr>
          </w:p>
        </w:tc>
        <w:tc>
          <w:tcPr>
            <w:tcW w:w="6844" w:type="dxa"/>
            <w:gridSpan w:val="5"/>
            <w:shd w:val="clear" w:color="auto" w:fill="auto"/>
            <w:vAlign w:val="center"/>
          </w:tcPr>
          <w:p>
            <w:pPr>
              <w:widowControl/>
              <w:ind w:firstLine="1424" w:firstLineChars="591"/>
              <w:textAlignment w:val="cente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t>各阶段</w:t>
            </w:r>
            <w:r>
              <w:rPr>
                <w:rFonts w:hint="eastAsia" w:asciiTheme="minorEastAsia" w:hAnsiTheme="minorEastAsia" w:eastAsiaTheme="minorEastAsia" w:cstheme="minorEastAsia"/>
                <w:b/>
                <w:color w:val="000000" w:themeColor="text1"/>
                <w:kern w:val="0"/>
                <w:sz w:val="24"/>
                <w:szCs w:val="24"/>
                <w:highlight w:val="none"/>
                <w:lang w:val="en-US" w:eastAsia="zh-CN"/>
                <w14:textFill>
                  <w14:solidFill>
                    <w14:schemeClr w14:val="tx1"/>
                  </w14:solidFill>
                </w14:textFill>
              </w:rPr>
              <w:t>计</w:t>
            </w:r>
            <w:r>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t>费比例表</w:t>
            </w:r>
          </w:p>
        </w:tc>
      </w:tr>
      <w:tr>
        <w:tblPrEx>
          <w:tblLayout w:type="fixed"/>
          <w:tblCellMar>
            <w:top w:w="15" w:type="dxa"/>
            <w:left w:w="15" w:type="dxa"/>
            <w:bottom w:w="15" w:type="dxa"/>
            <w:right w:w="15" w:type="dxa"/>
          </w:tblCellMar>
        </w:tblPrEx>
        <w:trPr>
          <w:trHeight w:val="480" w:hRule="atLeast"/>
        </w:trPr>
        <w:tc>
          <w:tcPr>
            <w:tcW w:w="461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工程类别</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本次拟定</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计</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费比例</w:t>
            </w:r>
          </w:p>
        </w:tc>
      </w:tr>
      <w:tr>
        <w:tblPrEx>
          <w:tblLayout w:type="fixed"/>
          <w:tblCellMar>
            <w:top w:w="15" w:type="dxa"/>
            <w:left w:w="15" w:type="dxa"/>
            <w:bottom w:w="15" w:type="dxa"/>
            <w:right w:w="15" w:type="dxa"/>
          </w:tblCellMar>
        </w:tblPrEx>
        <w:trPr>
          <w:trHeight w:val="480" w:hRule="atLeast"/>
        </w:trPr>
        <w:tc>
          <w:tcPr>
            <w:tcW w:w="461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设计阶段</w:t>
            </w:r>
          </w:p>
        </w:tc>
      </w:tr>
      <w:tr>
        <w:tblPrEx>
          <w:tblLayout w:type="fixed"/>
          <w:tblCellMar>
            <w:top w:w="15" w:type="dxa"/>
            <w:left w:w="15" w:type="dxa"/>
            <w:bottom w:w="15" w:type="dxa"/>
            <w:right w:w="15" w:type="dxa"/>
          </w:tblCellMar>
        </w:tblPrEx>
        <w:trPr>
          <w:trHeight w:val="870" w:hRule="atLeast"/>
        </w:trPr>
        <w:tc>
          <w:tcPr>
            <w:tcW w:w="461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方案设计（%）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初步设计（%）</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施工图设计（%）</w:t>
            </w:r>
          </w:p>
        </w:tc>
      </w:tr>
      <w:tr>
        <w:tblPrEx>
          <w:tblLayout w:type="fixed"/>
          <w:tblCellMar>
            <w:top w:w="15" w:type="dxa"/>
            <w:left w:w="15" w:type="dxa"/>
            <w:bottom w:w="15" w:type="dxa"/>
            <w:right w:w="15" w:type="dxa"/>
          </w:tblCellMar>
        </w:tblPrEx>
        <w:trPr>
          <w:trHeight w:val="286" w:hRule="atLeast"/>
        </w:trPr>
        <w:tc>
          <w:tcPr>
            <w:tcW w:w="14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房屋建筑工程</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建筑与室外工程</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Ⅰ级</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30</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Ⅱ级</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30</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55</w:t>
            </w:r>
          </w:p>
        </w:tc>
      </w:tr>
      <w:tr>
        <w:tblPrEx>
          <w:tblLayout w:type="fixed"/>
          <w:tblCellMar>
            <w:top w:w="15" w:type="dxa"/>
            <w:left w:w="15" w:type="dxa"/>
            <w:bottom w:w="15" w:type="dxa"/>
            <w:right w:w="15" w:type="dxa"/>
          </w:tblCellMar>
        </w:tblPrEx>
        <w:trPr>
          <w:trHeight w:val="286" w:hRule="atLeast"/>
        </w:trPr>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Ⅲ级</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30</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住宅工程</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30</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45</w:t>
            </w:r>
          </w:p>
        </w:tc>
      </w:tr>
      <w:tr>
        <w:tblPrEx>
          <w:tblLayout w:type="fixed"/>
          <w:tblCellMar>
            <w:top w:w="15" w:type="dxa"/>
            <w:left w:w="15" w:type="dxa"/>
            <w:bottom w:w="15" w:type="dxa"/>
            <w:right w:w="15" w:type="dxa"/>
          </w:tblCellMar>
        </w:tblPrEx>
        <w:trPr>
          <w:trHeight w:val="286" w:hRule="atLeast"/>
        </w:trPr>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人防工程</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40</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仿古建筑保护性建筑工程</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30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20</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智能建筑弱电系统工程</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40</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室内装修工程</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14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市政公用工程</w:t>
            </w: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城市道路</w:t>
            </w: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、单独施工的</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隔音屏项目</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30</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45</w:t>
            </w:r>
          </w:p>
        </w:tc>
      </w:tr>
      <w:tr>
        <w:tblPrEx>
          <w:tblLayout w:type="fixed"/>
          <w:tblCellMar>
            <w:top w:w="15" w:type="dxa"/>
            <w:left w:w="15" w:type="dxa"/>
            <w:bottom w:w="15" w:type="dxa"/>
            <w:right w:w="15" w:type="dxa"/>
          </w:tblCellMar>
        </w:tblPrEx>
        <w:trPr>
          <w:trHeight w:val="286" w:hRule="atLeast"/>
        </w:trPr>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轨道交通工程</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45</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55</w:t>
            </w:r>
          </w:p>
        </w:tc>
      </w:tr>
      <w:tr>
        <w:tblPrEx>
          <w:tblLayout w:type="fixed"/>
          <w:tblCellMar>
            <w:top w:w="15" w:type="dxa"/>
            <w:left w:w="15" w:type="dxa"/>
            <w:bottom w:w="15" w:type="dxa"/>
            <w:right w:w="15" w:type="dxa"/>
          </w:tblCellMar>
        </w:tblPrEx>
        <w:trPr>
          <w:trHeight w:val="90" w:hRule="atLeast"/>
        </w:trPr>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地铁、桥梁</w:t>
            </w: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隧道工程</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45</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55</w:t>
            </w:r>
          </w:p>
        </w:tc>
      </w:tr>
      <w:tr>
        <w:tblPrEx>
          <w:tblLayout w:type="fixed"/>
          <w:tblCellMar>
            <w:top w:w="15" w:type="dxa"/>
            <w:left w:w="15" w:type="dxa"/>
            <w:bottom w:w="15" w:type="dxa"/>
            <w:right w:w="15" w:type="dxa"/>
          </w:tblCellMar>
        </w:tblPrEx>
        <w:trPr>
          <w:trHeight w:val="286" w:hRule="atLeast"/>
        </w:trPr>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电力工程（管线）</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40</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60</w:t>
            </w:r>
          </w:p>
        </w:tc>
      </w:tr>
      <w:tr>
        <w:tblPrEx>
          <w:tblLayout w:type="fixed"/>
          <w:tblCellMar>
            <w:top w:w="15" w:type="dxa"/>
            <w:left w:w="15" w:type="dxa"/>
            <w:bottom w:w="15" w:type="dxa"/>
            <w:right w:w="15" w:type="dxa"/>
          </w:tblCellMar>
        </w:tblPrEx>
        <w:trPr>
          <w:trHeight w:val="286" w:hRule="atLeast"/>
        </w:trPr>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综合管廊工程</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35</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14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园林绿化工程</w:t>
            </w: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Ⅰ</w:t>
            </w:r>
            <w:r>
              <w:rPr>
                <w:rFonts w:hint="eastAsia" w:asciiTheme="minorEastAsia" w:hAnsiTheme="minorEastAsia" w:cstheme="minorEastAsia"/>
                <w:color w:val="000000" w:themeColor="text1"/>
                <w:kern w:val="0"/>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Ⅱ级</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30</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55</w:t>
            </w:r>
          </w:p>
        </w:tc>
      </w:tr>
      <w:tr>
        <w:tblPrEx>
          <w:tblLayout w:type="fixed"/>
          <w:tblCellMar>
            <w:top w:w="15" w:type="dxa"/>
            <w:left w:w="15" w:type="dxa"/>
            <w:bottom w:w="15" w:type="dxa"/>
            <w:right w:w="15" w:type="dxa"/>
          </w:tblCellMar>
        </w:tblPrEx>
        <w:trPr>
          <w:trHeight w:val="286" w:hRule="atLeast"/>
        </w:trPr>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Ⅲ级</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30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20</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46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改、扩建工程</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40</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50</w:t>
            </w:r>
          </w:p>
        </w:tc>
      </w:tr>
      <w:tr>
        <w:tblPrEx>
          <w:tblLayout w:type="fixed"/>
          <w:tblCellMar>
            <w:top w:w="15" w:type="dxa"/>
            <w:left w:w="15" w:type="dxa"/>
            <w:bottom w:w="15" w:type="dxa"/>
            <w:right w:w="15" w:type="dxa"/>
          </w:tblCellMar>
        </w:tblPrEx>
        <w:trPr>
          <w:trHeight w:val="286" w:hRule="atLeast"/>
        </w:trPr>
        <w:tc>
          <w:tcPr>
            <w:tcW w:w="14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水利水运工程</w:t>
            </w: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引调水工程</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建构筑物</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25</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55</w:t>
            </w:r>
          </w:p>
        </w:tc>
      </w:tr>
      <w:tr>
        <w:tblPrEx>
          <w:tblLayout w:type="fixed"/>
          <w:tblCellMar>
            <w:top w:w="15" w:type="dxa"/>
            <w:left w:w="15" w:type="dxa"/>
            <w:bottom w:w="15" w:type="dxa"/>
            <w:right w:w="15" w:type="dxa"/>
          </w:tblCellMar>
        </w:tblPrEx>
        <w:trPr>
          <w:trHeight w:val="286" w:hRule="atLeast"/>
        </w:trPr>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渠道管线</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45</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35</w:t>
            </w:r>
          </w:p>
        </w:tc>
      </w:tr>
      <w:tr>
        <w:tblPrEx>
          <w:tblLayout w:type="fixed"/>
          <w:tblCellMar>
            <w:top w:w="15" w:type="dxa"/>
            <w:left w:w="15" w:type="dxa"/>
            <w:bottom w:w="15" w:type="dxa"/>
            <w:right w:w="15" w:type="dxa"/>
          </w:tblCellMar>
        </w:tblPrEx>
        <w:trPr>
          <w:trHeight w:val="286" w:hRule="atLeast"/>
        </w:trPr>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5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河道治理工程</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建构筑物</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25</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55</w:t>
            </w:r>
          </w:p>
        </w:tc>
      </w:tr>
      <w:tr>
        <w:tblPrEx>
          <w:tblLayout w:type="fixed"/>
          <w:tblCellMar>
            <w:top w:w="15" w:type="dxa"/>
            <w:left w:w="15" w:type="dxa"/>
            <w:bottom w:w="15" w:type="dxa"/>
            <w:right w:w="15" w:type="dxa"/>
          </w:tblCellMar>
        </w:tblPrEx>
        <w:trPr>
          <w:trHeight w:val="286" w:hRule="atLeast"/>
        </w:trPr>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5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渠道管线</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55</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35</w:t>
            </w:r>
          </w:p>
        </w:tc>
      </w:tr>
      <w:tr>
        <w:tblPrEx>
          <w:tblLayout w:type="fixed"/>
          <w:tblCellMar>
            <w:top w:w="15" w:type="dxa"/>
            <w:left w:w="15" w:type="dxa"/>
            <w:bottom w:w="15" w:type="dxa"/>
            <w:right w:w="15" w:type="dxa"/>
          </w:tblCellMar>
        </w:tblPrEx>
        <w:trPr>
          <w:trHeight w:val="286" w:hRule="atLeast"/>
        </w:trPr>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灌区田间工程</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t>6</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0</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40</w:t>
            </w:r>
          </w:p>
        </w:tc>
      </w:tr>
      <w:tr>
        <w:tblPrEx>
          <w:tblLayout w:type="fixed"/>
          <w:tblCellMar>
            <w:top w:w="15" w:type="dxa"/>
            <w:left w:w="15" w:type="dxa"/>
            <w:bottom w:w="15" w:type="dxa"/>
            <w:right w:w="15" w:type="dxa"/>
          </w:tblCellMar>
        </w:tblPrEx>
        <w:trPr>
          <w:trHeight w:val="286" w:hRule="atLeast"/>
        </w:trPr>
        <w:tc>
          <w:tcPr>
            <w:tcW w:w="14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水土保持工程</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70</w:t>
            </w:r>
          </w:p>
        </w:tc>
        <w:tc>
          <w:tcPr>
            <w:tcW w:w="14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30</w:t>
            </w:r>
          </w:p>
        </w:tc>
      </w:tr>
      <w:tr>
        <w:tblPrEx>
          <w:tblLayout w:type="fixed"/>
          <w:tblCellMar>
            <w:top w:w="15" w:type="dxa"/>
            <w:left w:w="15" w:type="dxa"/>
            <w:bottom w:w="15" w:type="dxa"/>
            <w:right w:w="15" w:type="dxa"/>
          </w:tblCellMar>
        </w:tblPrEx>
        <w:trPr>
          <w:trHeight w:val="555" w:hRule="atLeast"/>
        </w:trPr>
        <w:tc>
          <w:tcPr>
            <w:tcW w:w="8336" w:type="dxa"/>
            <w:gridSpan w:val="6"/>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注：</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根据设计阶段划分，一般分为方案设计、初步设计、施工图设计三个阶段，如合并为</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一阶段</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进行</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设计的</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工程，设计工程量</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按</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总工程量的</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80%</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计算</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w:t>
            </w:r>
          </w:p>
        </w:tc>
      </w:tr>
      <w:tr>
        <w:tblPrEx>
          <w:tblLayout w:type="fixed"/>
          <w:tblCellMar>
            <w:top w:w="15" w:type="dxa"/>
            <w:left w:w="15" w:type="dxa"/>
            <w:bottom w:w="15" w:type="dxa"/>
            <w:right w:w="15" w:type="dxa"/>
          </w:tblCellMar>
        </w:tblPrEx>
        <w:trPr>
          <w:trHeight w:val="555" w:hRule="atLeast"/>
        </w:trPr>
        <w:tc>
          <w:tcPr>
            <w:tcW w:w="8336" w:type="dxa"/>
            <w:gridSpan w:val="6"/>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kern w:val="0"/>
                <w:sz w:val="22"/>
                <w:highlight w:val="none"/>
                <w14:textFill>
                  <w14:solidFill>
                    <w14:schemeClr w14:val="tx1"/>
                  </w14:solidFill>
                </w14:textFill>
              </w:rPr>
            </w:pPr>
          </w:p>
        </w:tc>
      </w:tr>
    </w:tbl>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br w:type="page"/>
      </w:r>
    </w:p>
    <w:p>
      <w:pP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附表六</w:t>
      </w:r>
    </w:p>
    <w:p>
      <w:pPr>
        <w:jc w:val="center"/>
        <w:rPr>
          <w:rFonts w:hint="eastAsia" w:asciiTheme="minorEastAsia" w:hAnsiTheme="minorEastAsia" w:eastAsiaTheme="minorEastAsia" w:cstheme="minorEastAsia"/>
          <w:b/>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工程设计费附加调整系数表</w:t>
      </w:r>
    </w:p>
    <w:tbl>
      <w:tblPr>
        <w:tblStyle w:val="11"/>
        <w:tblW w:w="8334" w:type="dxa"/>
        <w:tblInd w:w="0" w:type="dxa"/>
        <w:shd w:val="clear" w:color="auto" w:fill="auto"/>
        <w:tblLayout w:type="fixed"/>
        <w:tblCellMar>
          <w:top w:w="0" w:type="dxa"/>
          <w:left w:w="0" w:type="dxa"/>
          <w:bottom w:w="0" w:type="dxa"/>
          <w:right w:w="0" w:type="dxa"/>
        </w:tblCellMar>
      </w:tblPr>
      <w:tblGrid>
        <w:gridCol w:w="5280"/>
        <w:gridCol w:w="3054"/>
      </w:tblGrid>
      <w:tr>
        <w:tblPrEx>
          <w:shd w:val="clear" w:color="auto" w:fill="auto"/>
          <w:tblLayout w:type="fixed"/>
          <w:tblCellMar>
            <w:top w:w="0" w:type="dxa"/>
            <w:left w:w="0" w:type="dxa"/>
            <w:bottom w:w="0" w:type="dxa"/>
            <w:right w:w="0" w:type="dxa"/>
          </w:tblCellMar>
        </w:tblPrEx>
        <w:trPr>
          <w:trHeight w:val="270"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工程类别</w:t>
            </w:r>
          </w:p>
        </w:tc>
        <w:tc>
          <w:tcPr>
            <w:tcW w:w="30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附加调整系数</w:t>
            </w:r>
          </w:p>
        </w:tc>
      </w:tr>
      <w:tr>
        <w:tblPrEx>
          <w:tblLayout w:type="fixed"/>
          <w:tblCellMar>
            <w:top w:w="0" w:type="dxa"/>
            <w:left w:w="0" w:type="dxa"/>
            <w:bottom w:w="0" w:type="dxa"/>
            <w:right w:w="0" w:type="dxa"/>
          </w:tblCellMar>
        </w:tblPrEx>
        <w:trPr>
          <w:trHeight w:val="270"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改扩建项目</w:t>
            </w:r>
          </w:p>
        </w:tc>
        <w:tc>
          <w:tcPr>
            <w:tcW w:w="3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1.1</w:t>
            </w:r>
          </w:p>
        </w:tc>
      </w:tr>
      <w:tr>
        <w:tblPrEx>
          <w:tblLayout w:type="fixed"/>
          <w:tblCellMar>
            <w:top w:w="0" w:type="dxa"/>
            <w:left w:w="0" w:type="dxa"/>
            <w:bottom w:w="0" w:type="dxa"/>
            <w:right w:w="0" w:type="dxa"/>
          </w:tblCellMar>
        </w:tblPrEx>
        <w:trPr>
          <w:trHeight w:val="540"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古建筑、仿古建筑、保护性建筑项目</w:t>
            </w:r>
          </w:p>
        </w:tc>
        <w:tc>
          <w:tcPr>
            <w:tcW w:w="3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1.3</w:t>
            </w:r>
          </w:p>
        </w:tc>
      </w:tr>
      <w:tr>
        <w:tblPrEx>
          <w:shd w:val="clear" w:color="auto" w:fill="auto"/>
          <w:tblLayout w:type="fixed"/>
          <w:tblCellMar>
            <w:top w:w="0" w:type="dxa"/>
            <w:left w:w="0" w:type="dxa"/>
            <w:bottom w:w="0" w:type="dxa"/>
            <w:right w:w="0" w:type="dxa"/>
          </w:tblCellMar>
        </w:tblPrEx>
        <w:trPr>
          <w:trHeight w:val="540"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智能建筑、弱电系统设计项目</w:t>
            </w:r>
          </w:p>
        </w:tc>
        <w:tc>
          <w:tcPr>
            <w:tcW w:w="3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1.3</w:t>
            </w:r>
          </w:p>
        </w:tc>
      </w:tr>
      <w:tr>
        <w:tblPrEx>
          <w:tblLayout w:type="fixed"/>
          <w:tblCellMar>
            <w:top w:w="0" w:type="dxa"/>
            <w:left w:w="0" w:type="dxa"/>
            <w:bottom w:w="0" w:type="dxa"/>
            <w:right w:w="0" w:type="dxa"/>
          </w:tblCellMar>
        </w:tblPrEx>
        <w:trPr>
          <w:trHeight w:val="810"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单位造价指标高于2000元/m2的室内装修设计项目</w:t>
            </w:r>
          </w:p>
        </w:tc>
        <w:tc>
          <w:tcPr>
            <w:tcW w:w="3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1.5</w:t>
            </w:r>
          </w:p>
        </w:tc>
      </w:tr>
      <w:tr>
        <w:tblPrEx>
          <w:shd w:val="clear" w:color="auto" w:fill="auto"/>
          <w:tblLayout w:type="fixed"/>
          <w:tblCellMar>
            <w:top w:w="0" w:type="dxa"/>
            <w:left w:w="0" w:type="dxa"/>
            <w:bottom w:w="0" w:type="dxa"/>
            <w:right w:w="0" w:type="dxa"/>
          </w:tblCellMar>
        </w:tblPrEx>
        <w:trPr>
          <w:trHeight w:val="270" w:hRule="atLeast"/>
        </w:trPr>
        <w:tc>
          <w:tcPr>
            <w:tcW w:w="5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特殊声学装修设计项目</w:t>
            </w:r>
          </w:p>
        </w:tc>
        <w:tc>
          <w:tcPr>
            <w:tcW w:w="30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2.0 </w:t>
            </w:r>
          </w:p>
        </w:tc>
      </w:tr>
    </w:tbl>
    <w:p>
      <w:pPr>
        <w:jc w:val="center"/>
        <w:rPr>
          <w:rFonts w:hint="eastAsia" w:asciiTheme="minorEastAsia" w:hAnsiTheme="minorEastAsia" w:eastAsiaTheme="minorEastAsia" w:cstheme="minorEastAsia"/>
          <w:b/>
          <w:color w:val="000000" w:themeColor="text1"/>
          <w:sz w:val="22"/>
          <w:highlight w:val="none"/>
          <w:lang w:val="en-US" w:eastAsia="zh-CN"/>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br w:type="page"/>
      </w:r>
    </w:p>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案例</w:t>
      </w:r>
      <w:r>
        <w:rPr>
          <w:rFonts w:hint="eastAsia" w:asciiTheme="minorEastAsia" w:hAnsiTheme="minorEastAsia" w:eastAsiaTheme="minorEastAsia" w:cstheme="minorEastAsia"/>
          <w:b/>
          <w:color w:val="000000" w:themeColor="text1"/>
          <w:sz w:val="28"/>
          <w:szCs w:val="28"/>
          <w:highlight w:val="none"/>
          <w:lang w:val="en-US" w:eastAsia="zh-CN"/>
          <w14:textFill>
            <w14:solidFill>
              <w14:schemeClr w14:val="tx1"/>
            </w14:solidFill>
          </w14:textFill>
        </w:rPr>
        <w:t>一</w:t>
      </w:r>
      <w:r>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某新建综合管廊项目</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总投资</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13456.90万</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元，</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建筑安装工程费、设备购置费等为11234.64万元。合同服务范围包含方案设计及初步设计，其</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设计费计算如下：</w:t>
      </w:r>
    </w:p>
    <w:p>
      <w:pPr>
        <w:numPr>
          <w:ilvl w:val="0"/>
          <w:numId w:val="19"/>
        </w:numPr>
        <w:tabs>
          <w:tab w:val="left" w:pos="312"/>
        </w:tabs>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计算工程基本设计收费</w:t>
      </w:r>
    </w:p>
    <w:p>
      <w:pPr>
        <w:numPr>
          <w:ilvl w:val="0"/>
          <w:numId w:val="20"/>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确定专业调整系数，根据本章节附表二，综合管廊取1.1</w:t>
      </w:r>
    </w:p>
    <w:p>
      <w:pPr>
        <w:numPr>
          <w:ilvl w:val="0"/>
          <w:numId w:val="20"/>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确定工程复杂程度调整系数，根据本章节附表三，复杂程度为Ⅲ级，调整系数取1.15</w:t>
      </w:r>
    </w:p>
    <w:p>
      <w:pPr>
        <w:numPr>
          <w:ilvl w:val="0"/>
          <w:numId w:val="20"/>
        </w:numPr>
        <w:ind w:left="425" w:hanging="425"/>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确定附加调整系数，本项目为1.0</w:t>
      </w:r>
    </w:p>
    <w:p>
      <w:pPr>
        <w:numPr>
          <w:ilvl w:val="0"/>
          <w:numId w:val="20"/>
        </w:numPr>
        <w:ind w:left="425" w:hanging="425"/>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确定各阶段设计费计费比例：方案设计阶段为15%，初步设计结算为35%，本项目合计为50%</w:t>
      </w:r>
    </w:p>
    <w:p>
      <w:pPr>
        <w:numPr>
          <w:ilvl w:val="0"/>
          <w:numId w:val="19"/>
        </w:numPr>
        <w:ind w:left="425" w:hanging="425"/>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工程设计费合计：</w:t>
      </w:r>
    </w:p>
    <w:p>
      <w:pPr>
        <w:numPr>
          <w:ilvl w:val="-1"/>
          <w:numId w:val="0"/>
        </w:numPr>
        <w:ind w:left="0" w:firstLine="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（213.36+(396.76-213.36)/10000*(11234.64-10000)）*50%*1.1*1.0*1.15=149.27万元</w:t>
      </w:r>
    </w:p>
    <w:p>
      <w:p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numPr>
          <w:ilvl w:val="0"/>
          <w:numId w:val="0"/>
        </w:num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rPr>
          <w:rFonts w:hint="eastAsia" w:asciiTheme="minorEastAsia" w:hAnsiTheme="minorEastAsia" w:eastAsiaTheme="minorEastAsia" w:cstheme="minorEastAsia"/>
          <w:b/>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8"/>
          <w:szCs w:val="28"/>
          <w:highlight w:val="none"/>
          <w:lang w:val="en-US" w:eastAsia="zh-CN"/>
          <w14:textFill>
            <w14:solidFill>
              <w14:schemeClr w14:val="tx1"/>
            </w14:solidFill>
          </w14:textFill>
        </w:rPr>
        <w:br w:type="page"/>
      </w:r>
    </w:p>
    <w:p>
      <w:pPr>
        <w:keepNext w:val="0"/>
        <w:keepLines w:val="0"/>
        <w:pageBreakBefore w:val="0"/>
        <w:widowControl w:val="0"/>
        <w:numPr>
          <w:ilvl w:val="-1"/>
          <w:numId w:val="0"/>
        </w:numPr>
        <w:kinsoku/>
        <w:wordWrap/>
        <w:overflowPunct/>
        <w:topLinePunct w:val="0"/>
        <w:autoSpaceDE/>
        <w:autoSpaceDN/>
        <w:bidi w:val="0"/>
        <w:adjustRightInd w:val="0"/>
        <w:snapToGrid/>
        <w:spacing w:line="240" w:lineRule="auto"/>
        <w:ind w:leftChars="0"/>
        <w:jc w:val="left"/>
        <w:textAlignment w:val="auto"/>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8"/>
          <w:szCs w:val="28"/>
          <w:highlight w:val="none"/>
          <w:lang w:val="en-US" w:eastAsia="zh-CN"/>
          <w14:textFill>
            <w14:solidFill>
              <w14:schemeClr w14:val="tx1"/>
            </w14:solidFill>
          </w14:textFill>
        </w:rPr>
        <w:t>案例二：</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某改造项目总投资12568.61万元，建安工程费10329.32万元，其中桥梁工程6500.82万元，道路工程3828.50万元，设计费计算如下：</w:t>
      </w:r>
    </w:p>
    <w:p>
      <w:pPr>
        <w:numPr>
          <w:ilvl w:val="0"/>
          <w:numId w:val="21"/>
        </w:numPr>
        <w:tabs>
          <w:tab w:val="left" w:pos="312"/>
        </w:tabs>
        <w:ind w:left="-420" w:firstLine="425"/>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计算工程基本设计收费</w:t>
      </w:r>
    </w:p>
    <w:p>
      <w:pPr>
        <w:numPr>
          <w:ilvl w:val="0"/>
          <w:numId w:val="22"/>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确定专业调整系数，根据本章节附表二，道路工程取0.8，桥梁工程取1.1</w:t>
      </w:r>
    </w:p>
    <w:p>
      <w:pPr>
        <w:numPr>
          <w:ilvl w:val="0"/>
          <w:numId w:val="22"/>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确定工程复杂程度调整系数，根据本章节附表三，复杂程度为Ⅱ级，调整系数取1.0</w:t>
      </w:r>
    </w:p>
    <w:p>
      <w:pPr>
        <w:numPr>
          <w:ilvl w:val="0"/>
          <w:numId w:val="22"/>
        </w:numPr>
        <w:ind w:left="425" w:hanging="425"/>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确定附加调整系数：改扩建项目取1.1</w:t>
      </w:r>
    </w:p>
    <w:p>
      <w:pPr>
        <w:keepNext w:val="0"/>
        <w:keepLines w:val="0"/>
        <w:pageBreakBefore w:val="0"/>
        <w:widowControl/>
        <w:numPr>
          <w:ilvl w:val="0"/>
          <w:numId w:val="21"/>
        </w:numPr>
        <w:tabs>
          <w:tab w:val="left" w:pos="312"/>
        </w:tabs>
        <w:kinsoku/>
        <w:wordWrap/>
        <w:overflowPunct/>
        <w:topLinePunct w:val="0"/>
        <w:autoSpaceDE/>
        <w:autoSpaceDN/>
        <w:bidi w:val="0"/>
        <w:adjustRightInd/>
        <w:snapToGrid/>
        <w:spacing w:line="240" w:lineRule="auto"/>
        <w:ind w:left="-420" w:leftChars="0" w:firstLine="425"/>
        <w:jc w:val="left"/>
        <w:textAlignment w:val="auto"/>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工程设计费合计：</w:t>
      </w:r>
    </w:p>
    <w:p>
      <w:pPr>
        <w:keepNext w:val="0"/>
        <w:keepLines w:val="0"/>
        <w:pageBreakBefore w:val="0"/>
        <w:widowControl w:val="0"/>
        <w:numPr>
          <w:ilvl w:val="-1"/>
          <w:numId w:val="0"/>
        </w:numPr>
        <w:kinsoku/>
        <w:wordWrap/>
        <w:overflowPunct/>
        <w:topLinePunct w:val="0"/>
        <w:autoSpaceDE/>
        <w:autoSpaceDN/>
        <w:bidi w:val="0"/>
        <w:adjustRightInd w:val="0"/>
        <w:snapToGrid/>
        <w:spacing w:line="240" w:lineRule="auto"/>
        <w:ind w:leftChars="0"/>
        <w:jc w:val="left"/>
        <w:textAlignment w:val="auto"/>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(213.36+(396.76-213.36)/10000*(10329.32-10000))*(6500.82/10329.32*1.1+3828.5/10329.32*0.8)*1.0*1.1</w:t>
      </w:r>
    </w:p>
    <w:p>
      <w:pPr>
        <w:keepNext w:val="0"/>
        <w:keepLines w:val="0"/>
        <w:pageBreakBefore w:val="0"/>
        <w:widowControl w:val="0"/>
        <w:numPr>
          <w:ilvl w:val="-1"/>
          <w:numId w:val="0"/>
        </w:numPr>
        <w:kinsoku/>
        <w:wordWrap/>
        <w:overflowPunct/>
        <w:topLinePunct w:val="0"/>
        <w:autoSpaceDE/>
        <w:autoSpaceDN/>
        <w:bidi w:val="0"/>
        <w:adjustRightInd w:val="0"/>
        <w:snapToGrid/>
        <w:spacing w:line="240" w:lineRule="auto"/>
        <w:ind w:leftChars="0"/>
        <w:jc w:val="left"/>
        <w:textAlignment w:val="auto"/>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=219.40*0.9888*1.0*1.1</w:t>
      </w:r>
    </w:p>
    <w:p>
      <w:pPr>
        <w:keepNext w:val="0"/>
        <w:keepLines w:val="0"/>
        <w:pageBreakBefore w:val="0"/>
        <w:widowControl w:val="0"/>
        <w:numPr>
          <w:ilvl w:val="-1"/>
          <w:numId w:val="0"/>
        </w:numPr>
        <w:kinsoku/>
        <w:wordWrap/>
        <w:overflowPunct/>
        <w:topLinePunct w:val="0"/>
        <w:autoSpaceDE/>
        <w:autoSpaceDN/>
        <w:bidi w:val="0"/>
        <w:adjustRightInd w:val="0"/>
        <w:snapToGrid/>
        <w:spacing w:line="240" w:lineRule="auto"/>
        <w:ind w:leftChars="0"/>
        <w:jc w:val="left"/>
        <w:textAlignment w:val="auto"/>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=238.64万元。</w:t>
      </w:r>
    </w:p>
    <w:p>
      <w:pPr>
        <w:keepNext w:val="0"/>
        <w:keepLines w:val="0"/>
        <w:pageBreakBefore w:val="0"/>
        <w:widowControl w:val="0"/>
        <w:numPr>
          <w:ilvl w:val="-1"/>
          <w:numId w:val="0"/>
        </w:numPr>
        <w:kinsoku/>
        <w:wordWrap/>
        <w:overflowPunct/>
        <w:topLinePunct w:val="0"/>
        <w:autoSpaceDE/>
        <w:autoSpaceDN/>
        <w:bidi w:val="0"/>
        <w:adjustRightInd w:val="0"/>
        <w:snapToGrid/>
        <w:spacing w:line="240" w:lineRule="auto"/>
        <w:ind w:leftChars="0"/>
        <w:jc w:val="left"/>
        <w:textAlignment w:val="auto"/>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p>
    <w:p>
      <w:pPr>
        <w:numPr>
          <w:ilvl w:val="0"/>
          <w:numId w:val="0"/>
        </w:numPr>
        <w:ind w:left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p>
    <w:p>
      <w:pPr>
        <w:rPr>
          <w:rFonts w:hint="eastAsia" w:asciiTheme="minorEastAsia" w:hAnsiTheme="minorEastAsia" w:eastAsiaTheme="minorEastAsia" w:cstheme="minorEastAsia"/>
          <w:b/>
          <w:bCs w:val="0"/>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8"/>
          <w:szCs w:val="28"/>
          <w:highlight w:val="none"/>
          <w:lang w:val="en-US" w:eastAsia="zh-CN"/>
          <w14:textFill>
            <w14:solidFill>
              <w14:schemeClr w14:val="tx1"/>
            </w14:solidFill>
          </w14:textFill>
        </w:rPr>
        <w:br w:type="page"/>
      </w:r>
    </w:p>
    <w:p>
      <w:pPr>
        <w:numPr>
          <w:ilvl w:val="0"/>
          <w:numId w:val="0"/>
        </w:numPr>
        <w:ind w:left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8"/>
          <w:szCs w:val="28"/>
          <w:highlight w:val="none"/>
          <w:lang w:val="en-US" w:eastAsia="zh-CN"/>
          <w14:textFill>
            <w14:solidFill>
              <w14:schemeClr w14:val="tx1"/>
            </w14:solidFill>
          </w14:textFill>
        </w:rPr>
        <w:t>案例三：</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某轨道交通项目系统设计，建安工程费用约373719.32万元，工程设计费己算下：</w:t>
      </w:r>
    </w:p>
    <w:p>
      <w:pPr>
        <w:numPr>
          <w:ilvl w:val="0"/>
          <w:numId w:val="23"/>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计算收费基价根据本章节附表一。采用内插法计算：2893.02+(4966.02-2893.02)/200000*(373719.32-200000)=4693.62万元</w:t>
      </w:r>
    </w:p>
    <w:p>
      <w:pPr>
        <w:numPr>
          <w:ilvl w:val="0"/>
          <w:numId w:val="23"/>
        </w:numPr>
        <w:tabs>
          <w:tab w:val="left" w:pos="312"/>
        </w:tabs>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计算工程基本设计收费</w:t>
      </w:r>
    </w:p>
    <w:p>
      <w:pPr>
        <w:numPr>
          <w:ilvl w:val="0"/>
          <w:numId w:val="24"/>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确定专业调整系数，根据本章节附表二，地铁工程取1.3</w:t>
      </w:r>
    </w:p>
    <w:p>
      <w:pPr>
        <w:numPr>
          <w:ilvl w:val="0"/>
          <w:numId w:val="24"/>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确定工程复杂程度调整系数，根据本章节附表三，复杂程度为Ⅲ级，调整系数取1.15</w:t>
      </w:r>
    </w:p>
    <w:p>
      <w:pPr>
        <w:numPr>
          <w:ilvl w:val="0"/>
          <w:numId w:val="24"/>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确定附加调整系数：本项目取1.0</w:t>
      </w:r>
    </w:p>
    <w:p>
      <w:pPr>
        <w:numPr>
          <w:ilvl w:val="-1"/>
          <w:numId w:val="0"/>
        </w:numPr>
        <w:ind w:left="0" w:leftChars="0" w:firstLine="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3.工程设计费合计：4693.62*1.3*1.15*1.0=7016.96万元</w:t>
      </w:r>
    </w:p>
    <w:p>
      <w:pP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br w:type="page"/>
      </w:r>
    </w:p>
    <w:p>
      <w:pPr>
        <w:numPr>
          <w:ilvl w:val="0"/>
          <w:numId w:val="0"/>
        </w:numPr>
        <w:ind w:left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8"/>
          <w:szCs w:val="28"/>
          <w:highlight w:val="none"/>
          <w:lang w:val="en-US" w:eastAsia="zh-CN"/>
          <w14:textFill>
            <w14:solidFill>
              <w14:schemeClr w14:val="tx1"/>
            </w14:solidFill>
          </w14:textFill>
        </w:rPr>
        <w:t>案例</w:t>
      </w:r>
      <w:r>
        <w:rPr>
          <w:rFonts w:hint="eastAsia" w:asciiTheme="minorEastAsia" w:hAnsiTheme="minorEastAsia" w:cstheme="minorEastAsia"/>
          <w:b/>
          <w:bCs w:val="0"/>
          <w:color w:val="000000" w:themeColor="text1"/>
          <w:sz w:val="28"/>
          <w:szCs w:val="28"/>
          <w:highlight w:val="none"/>
          <w:lang w:val="en-US" w:eastAsia="zh-CN"/>
          <w14:textFill>
            <w14:solidFill>
              <w14:schemeClr w14:val="tx1"/>
            </w14:solidFill>
          </w14:textFill>
        </w:rPr>
        <w:t>四</w:t>
      </w:r>
      <w:r>
        <w:rPr>
          <w:rFonts w:hint="eastAsia" w:asciiTheme="minorEastAsia" w:hAnsiTheme="minorEastAsia" w:eastAsiaTheme="minorEastAsia" w:cstheme="minorEastAsia"/>
          <w:b/>
          <w:bCs w:val="0"/>
          <w:color w:val="000000" w:themeColor="text1"/>
          <w:sz w:val="28"/>
          <w:szCs w:val="28"/>
          <w:highlight w:val="none"/>
          <w:lang w:val="en-US" w:eastAsia="zh-CN"/>
          <w14:textFill>
            <w14:solidFill>
              <w14:schemeClr w14:val="tx1"/>
            </w14:solidFill>
          </w14:textFill>
        </w:rPr>
        <w:t>：</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某新建剧院项目</w:t>
      </w:r>
      <w:r>
        <w:rPr>
          <w:rFonts w:hint="eastAsia" w:asciiTheme="minorEastAsia" w:hAnsiTheme="minorEastAsia" w:cstheme="minorEastAsia"/>
          <w:bCs/>
          <w:color w:val="000000" w:themeColor="text1"/>
          <w:sz w:val="28"/>
          <w:szCs w:val="28"/>
          <w:highlight w:val="none"/>
          <w14:textFill>
            <w14:solidFill>
              <w14:schemeClr w14:val="tx1"/>
            </w14:solidFill>
          </w14:textFill>
        </w:rPr>
        <w:t>总投资</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1</w:t>
      </w:r>
      <w:r>
        <w:rPr>
          <w:rFonts w:hint="eastAsia" w:asciiTheme="minorEastAsia" w:hAnsiTheme="minorEastAsia" w:cstheme="minorEastAsia"/>
          <w:bCs/>
          <w:color w:val="000000" w:themeColor="text1"/>
          <w:sz w:val="28"/>
          <w:szCs w:val="28"/>
          <w:highlight w:val="none"/>
          <w14:textFill>
            <w14:solidFill>
              <w14:schemeClr w14:val="tx1"/>
            </w14:solidFill>
          </w14:textFill>
        </w:rPr>
        <w:t>.</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7</w:t>
      </w:r>
      <w:r>
        <w:rPr>
          <w:rFonts w:hint="eastAsia" w:asciiTheme="minorEastAsia" w:hAnsiTheme="minorEastAsia" w:cstheme="minorEastAsia"/>
          <w:bCs/>
          <w:color w:val="000000" w:themeColor="text1"/>
          <w:sz w:val="28"/>
          <w:szCs w:val="28"/>
          <w:highlight w:val="none"/>
          <w14:textFill>
            <w14:solidFill>
              <w14:schemeClr w14:val="tx1"/>
            </w14:solidFill>
          </w14:textFill>
        </w:rPr>
        <w:t>亿元，</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建筑安装工程费、设备购置费等为15000万元，其中弱电费用700万元，室内装修费5500万元（其中高级装修4800万元，特殊声学装修700万元）。</w:t>
      </w:r>
      <w:r>
        <w:rPr>
          <w:rFonts w:hint="eastAsia" w:asciiTheme="minorEastAsia" w:hAnsiTheme="minorEastAsia" w:cstheme="minorEastAsia"/>
          <w:bCs/>
          <w:color w:val="000000" w:themeColor="text1"/>
          <w:sz w:val="28"/>
          <w:szCs w:val="28"/>
          <w:highlight w:val="none"/>
          <w14:textFill>
            <w14:solidFill>
              <w14:schemeClr w14:val="tx1"/>
            </w14:solidFill>
          </w14:textFill>
        </w:rPr>
        <w:t>设计费计算如下：</w:t>
      </w:r>
    </w:p>
    <w:p>
      <w:pPr>
        <w:numPr>
          <w:ilvl w:val="0"/>
          <w:numId w:val="25"/>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计算收费基价根据本章节附表一。采用内插法计算：</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213.36</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396.76-213.36)</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10</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000*(</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15000</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10</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000)=</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305.06</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万元</w:t>
      </w:r>
    </w:p>
    <w:p>
      <w:pPr>
        <w:numPr>
          <w:ilvl w:val="0"/>
          <w:numId w:val="25"/>
        </w:numPr>
        <w:tabs>
          <w:tab w:val="left" w:pos="312"/>
        </w:tabs>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计算工程基本设计收费</w:t>
      </w:r>
    </w:p>
    <w:p>
      <w:pPr>
        <w:numPr>
          <w:ilvl w:val="0"/>
          <w:numId w:val="26"/>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确定专业调整系数，根据本章节附表二，</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建筑工程取0.9，弱电工程取0.9，室内装修取0.9</w:t>
      </w:r>
    </w:p>
    <w:p>
      <w:pPr>
        <w:numPr>
          <w:ilvl w:val="0"/>
          <w:numId w:val="26"/>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确定工程复杂程度调整系数，根据本章节附表三，复杂程度为Ⅲ级，调整系数取1.15</w:t>
      </w:r>
    </w:p>
    <w:p>
      <w:pPr>
        <w:numPr>
          <w:ilvl w:val="0"/>
          <w:numId w:val="26"/>
        </w:numPr>
        <w:ind w:left="425" w:leftChars="0" w:hanging="425" w:firstLineChars="0"/>
        <w:rPr>
          <w:rFonts w:hint="default"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确定附加调整系数：</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弱电工程取1.3，高级装修单价指标高于2000元/m2取1.5，特殊声学装修取2.0</w:t>
      </w:r>
    </w:p>
    <w:p>
      <w:pPr>
        <w:numPr>
          <w:ilvl w:val="0"/>
          <w:numId w:val="25"/>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工程设计费合计：</w:t>
      </w:r>
    </w:p>
    <w:p>
      <w:pPr>
        <w:numPr>
          <w:ilvl w:val="0"/>
          <w:numId w:val="0"/>
        </w:numP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专业调整系数：</w:t>
      </w:r>
    </w:p>
    <w:p>
      <w:pPr>
        <w:numPr>
          <w:ilvl w:val="0"/>
          <w:numId w:val="0"/>
        </w:numPr>
        <w:ind w:leftChars="0"/>
        <w:rPr>
          <w:rFonts w:hint="default" w:asciiTheme="minorEastAsia" w:hAnsi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(700/15000*0.9*1.3+4800/15000*0.9+700/15000*0.9*2.0+(15000-700-5500)/15000*0.9)</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0.955</w:t>
      </w:r>
    </w:p>
    <w:p>
      <w:pPr>
        <w:numPr>
          <w:ilvl w:val="0"/>
          <w:numId w:val="0"/>
        </w:numPr>
        <w:ind w:left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305.06</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*1.15*</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0.955</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334.89</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万元</w:t>
      </w:r>
    </w:p>
    <w:p>
      <w:pPr>
        <w:numPr>
          <w:ilvl w:val="0"/>
          <w:numId w:val="0"/>
        </w:numPr>
        <w:ind w:left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Chars="0"/>
        <w:jc w:val="left"/>
        <w:textAlignment w:val="auto"/>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Chars="0"/>
        <w:jc w:val="left"/>
        <w:textAlignment w:val="auto"/>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Chars="0"/>
        <w:jc w:val="left"/>
        <w:textAlignment w:val="auto"/>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p>
    <w:p>
      <w:pPr>
        <w:pStyle w:val="2"/>
        <w:bidi w:val="0"/>
        <w:jc w:val="center"/>
        <w:rPr>
          <w:rFonts w:hint="eastAsia"/>
          <w:color w:val="000000" w:themeColor="text1"/>
          <w:sz w:val="36"/>
          <w:szCs w:val="36"/>
          <w:highlight w:val="none"/>
          <w:lang w:val="en-US" w:eastAsia="zh-CN"/>
          <w14:textFill>
            <w14:solidFill>
              <w14:schemeClr w14:val="tx1"/>
            </w14:solidFill>
          </w14:textFill>
        </w:rPr>
      </w:pPr>
      <w:bookmarkStart w:id="4" w:name="_Toc21306"/>
      <w:r>
        <w:rPr>
          <w:rFonts w:hint="eastAsia"/>
          <w:color w:val="000000" w:themeColor="text1"/>
          <w:sz w:val="36"/>
          <w:szCs w:val="36"/>
          <w:highlight w:val="none"/>
          <w:lang w:val="en-US" w:eastAsia="zh-CN"/>
          <w14:textFill>
            <w14:solidFill>
              <w14:schemeClr w14:val="tx1"/>
            </w14:solidFill>
          </w14:textFill>
        </w:rPr>
        <w:t>第三章  工程监理与相关服务费</w:t>
      </w:r>
      <w:bookmarkEnd w:id="4"/>
    </w:p>
    <w:p>
      <w:pPr>
        <w:ind w:firstLine="1446" w:firstLineChars="400"/>
        <w:jc w:val="center"/>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pPr>
    </w:p>
    <w:p>
      <w:pPr>
        <w:numPr>
          <w:ilvl w:val="0"/>
          <w:numId w:val="27"/>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工作内容：建设工程监理与相关服务包括建设工程施工阶段的工程监理（以下简称“施工监理”）服务和勘察、设计、保修等阶段的相关服务（以下简称“其他阶段的相关服务”）。</w:t>
      </w:r>
    </w:p>
    <w:p>
      <w:pPr>
        <w:numPr>
          <w:ilvl w:val="0"/>
          <w:numId w:val="27"/>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适用范围：本市政府投资建设项目的工程监理与相关服务费招标上限值及结算可参考本标准。</w:t>
      </w:r>
    </w:p>
    <w:p>
      <w:pPr>
        <w:numPr>
          <w:ilvl w:val="0"/>
          <w:numId w:val="27"/>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计费标准</w:t>
      </w:r>
    </w:p>
    <w:p>
      <w:pPr>
        <w:numPr>
          <w:ilvl w:val="0"/>
          <w:numId w:val="28"/>
        </w:numPr>
        <w:ind w:left="0" w:leftChars="0" w:firstLine="638" w:firstLineChars="228"/>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水运、公路、水电、水库工程的施工监理服务费按建筑安装工程费分档定额计费方式计算。其他工程的施工监理服务费按照建设项目工程概算投资额分档定额计费方式计算。</w:t>
      </w:r>
    </w:p>
    <w:p>
      <w:pPr>
        <w:numPr>
          <w:ilvl w:val="0"/>
          <w:numId w:val="28"/>
        </w:numPr>
        <w:ind w:left="0" w:leftChars="0" w:firstLine="638" w:firstLineChars="228"/>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其他阶段的相关服务费一般按相关服务工作所需工日和《建设工程监理与相关服务人员人工日费用标准》(附表二)</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计取</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w:t>
      </w:r>
    </w:p>
    <w:p>
      <w:pPr>
        <w:numPr>
          <w:ilvl w:val="0"/>
          <w:numId w:val="28"/>
        </w:numPr>
        <w:ind w:left="0" w:leftChars="0" w:firstLine="638" w:firstLineChars="228"/>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施工监理服务费按照下列公式计算:</w:t>
      </w:r>
    </w:p>
    <w:p>
      <w:pPr>
        <w:numPr>
          <w:ilvl w:val="0"/>
          <w:numId w:val="28"/>
        </w:numPr>
        <w:ind w:left="0" w:leftChars="0" w:firstLine="638" w:firstLineChars="228"/>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施工监理服务费基准价=施工监理服务费基价×专业调整系数×工程复杂程度调整系数。（施工监理服务费基价见附表三，工程复杂调整系数见附表4.1—4.4，专业调整系数见附表5）</w:t>
      </w:r>
    </w:p>
    <w:p>
      <w:pPr>
        <w:numPr>
          <w:ilvl w:val="0"/>
          <w:numId w:val="27"/>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GB"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相关说明</w:t>
      </w:r>
    </w:p>
    <w:p>
      <w:pPr>
        <w:numPr>
          <w:ilvl w:val="0"/>
          <w:numId w:val="29"/>
        </w:numPr>
        <w:ind w:left="0" w:leftChars="0" w:firstLine="638" w:firstLineChars="228"/>
        <w:rPr>
          <w:rFonts w:hint="eastAsia" w:asciiTheme="minorEastAsia" w:hAnsiTheme="minorEastAsia" w:eastAsiaTheme="minorEastAsia" w:cstheme="minorEastAsia"/>
          <w:bCs/>
          <w:color w:val="000000" w:themeColor="text1"/>
          <w:sz w:val="28"/>
          <w:szCs w:val="28"/>
          <w:highlight w:val="none"/>
          <w:lang w:val="en-GB"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GB" w:eastAsia="zh-CN"/>
          <w14:textFill>
            <w14:solidFill>
              <w14:schemeClr w14:val="tx1"/>
            </w14:solidFill>
          </w14:textFill>
        </w:rPr>
        <w:t>施工监理服务费的计费</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基数</w:t>
      </w:r>
    </w:p>
    <w:p>
      <w:pPr>
        <w:pStyle w:val="22"/>
        <w:spacing w:line="360" w:lineRule="auto"/>
        <w:ind w:firstLine="560"/>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施工监理服务费以建设项目工程概算投资额分档定额计费方式</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计取</w:t>
      </w: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的,其计费</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基数</w:t>
      </w: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为工程概算中的建筑安装工程费、设备购置费和联合试运转费之和,即工程概算投资额。对设备购置费和联合试运转费占工程概算投资额40%以上的工程项目，其建筑安装工程费全部计入计费</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基数</w:t>
      </w: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,设备购置费和联合试运转费按40%的比例计入计费</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基数</w:t>
      </w: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。但其计费</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基数</w:t>
      </w: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不应小于建筑安装工程费与其相同且设备购置费和联合试运转费等于工程概算投资额40%的工程项目的计费</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基数</w:t>
      </w: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w:t>
      </w:r>
    </w:p>
    <w:p>
      <w:pPr>
        <w:pStyle w:val="22"/>
        <w:spacing w:line="360" w:lineRule="auto"/>
        <w:ind w:left="0" w:leftChars="0" w:firstLine="560" w:firstLineChars="200"/>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工程中有利用原有设备并进行安装调试服务的,以签订工程监理合同时同类设备的当期价格作为施工监理服务费的计费</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基数</w:t>
      </w: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；工程中有缓配设备的,应扣除签订工程监理合同时同类设备的当期价格作为施工监理服务费的计费</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基数</w:t>
      </w: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；工程中有引进设备的,按照购进设备的离岸价格折换成人民币作为施工监理服务费的计费</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基数</w:t>
      </w: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w:t>
      </w:r>
    </w:p>
    <w:p>
      <w:pPr>
        <w:pStyle w:val="22"/>
        <w:spacing w:line="360" w:lineRule="auto"/>
        <w:ind w:firstLine="560"/>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施工监理服务费以建筑安装工程费分档定额计费方式</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计取</w:t>
      </w: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的,其计费</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基数</w:t>
      </w:r>
      <w:r>
        <w:rPr>
          <w:rFonts w:hint="eastAsia" w:asciiTheme="minorEastAsia" w:hAnsiTheme="minorEastAsia" w:eastAsiaTheme="minorEastAsia" w:cstheme="minorEastAsia"/>
          <w:bCs/>
          <w:color w:val="000000" w:themeColor="text1"/>
          <w:sz w:val="28"/>
          <w:szCs w:val="28"/>
          <w:highlight w:val="none"/>
          <w:lang w:val="en-GB"/>
          <w14:textFill>
            <w14:solidFill>
              <w14:schemeClr w14:val="tx1"/>
            </w14:solidFill>
          </w14:textFill>
        </w:rPr>
        <w:t>为工程概算中的建筑安装工程费。</w:t>
      </w:r>
    </w:p>
    <w:p>
      <w:pPr>
        <w:numPr>
          <w:ilvl w:val="0"/>
          <w:numId w:val="29"/>
        </w:numPr>
        <w:ind w:left="0" w:leftChars="0" w:firstLine="638" w:firstLineChars="228"/>
        <w:rPr>
          <w:rFonts w:hint="eastAsia" w:asciiTheme="minorEastAsia" w:hAnsiTheme="minorEastAsia" w:eastAsiaTheme="minorEastAsia" w:cstheme="minorEastAsia"/>
          <w:bCs/>
          <w:color w:val="000000" w:themeColor="text1"/>
          <w:sz w:val="28"/>
          <w:szCs w:val="28"/>
          <w:highlight w:val="none"/>
          <w:lang w:val="en-GB"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GB" w:eastAsia="zh-CN"/>
          <w14:textFill>
            <w14:solidFill>
              <w14:schemeClr w14:val="tx1"/>
            </w14:solidFill>
          </w14:textFill>
        </w:rPr>
        <w:t>施工监理服务费原则上不考虑施工延期费用。</w:t>
      </w:r>
    </w:p>
    <w:p>
      <w:pPr>
        <w:numPr>
          <w:ilvl w:val="0"/>
          <w:numId w:val="27"/>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名词解释</w:t>
      </w:r>
    </w:p>
    <w:p>
      <w:pPr>
        <w:numPr>
          <w:ilvl w:val="0"/>
          <w:numId w:val="30"/>
        </w:numPr>
        <w:ind w:left="0" w:leftChars="0" w:firstLine="638" w:firstLineChars="228"/>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建设工程监理与相关服务：指监理人接受发包人的委托，提供建设工程施工阶段的质量、进度、费用控制管理和安全生产监督管理、合同、信息等方面协调管理服务，以及勘察、设计、保修等阶段的相关服务。各阶段的工作内容见《建设工程监理与相关服务的主要工作内容》（附表一）。</w:t>
      </w:r>
    </w:p>
    <w:p>
      <w:pPr>
        <w:numPr>
          <w:ilvl w:val="0"/>
          <w:numId w:val="30"/>
        </w:numPr>
        <w:ind w:left="0" w:leftChars="0" w:firstLine="638" w:firstLineChars="228"/>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施工监理服务费基价：指完成国家法律法规、规范制定的施工阶段监理基本服务内容的价格。施工监理服务费基价按《施工监理服务费基价表》（附表三）确定，计费基数处于两个数值区间的，采用直线内插法确定施工监理服务费基价。</w:t>
      </w:r>
    </w:p>
    <w:p>
      <w:pPr>
        <w:rPr>
          <w:rFonts w:hint="eastAsia" w:asciiTheme="minorEastAsia" w:hAnsiTheme="minorEastAsia" w:eastAsiaTheme="minorEastAsia" w:cstheme="minorEastAsia"/>
          <w:b/>
          <w:color w:val="000000" w:themeColor="text1"/>
          <w:sz w:val="22"/>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2"/>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2"/>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2"/>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附表一</w:t>
      </w:r>
    </w:p>
    <w:p>
      <w:pPr>
        <w:jc w:val="center"/>
        <w:rPr>
          <w:rFonts w:hint="eastAsia" w:asciiTheme="minorEastAsia" w:hAnsiTheme="minorEastAsia" w:eastAsiaTheme="minorEastAsia" w:cstheme="minorEastAsia"/>
          <w:b/>
          <w:color w:val="000000" w:themeColor="text1"/>
          <w:sz w:val="22"/>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建设工程监理与相关服务的主要工作内容</w:t>
      </w:r>
    </w:p>
    <w:tbl>
      <w:tblPr>
        <w:tblStyle w:val="12"/>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42"/>
        <w:gridCol w:w="4439"/>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服务阶段</w:t>
            </w:r>
          </w:p>
        </w:tc>
        <w:tc>
          <w:tcPr>
            <w:tcW w:w="4439" w:type="dxa"/>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主要工作内容</w:t>
            </w:r>
          </w:p>
        </w:tc>
        <w:tc>
          <w:tcPr>
            <w:tcW w:w="2841" w:type="dxa"/>
            <w:vAlign w:val="center"/>
          </w:tcPr>
          <w:p>
            <w:pPr>
              <w:jc w:val="center"/>
              <w:rPr>
                <w:rFonts w:hint="eastAsia" w:asciiTheme="minorEastAsia" w:hAnsiTheme="minorEastAsia" w:eastAsiaTheme="minorEastAsia" w:cstheme="minorEastAsia"/>
                <w:color w:val="000000" w:themeColor="text1"/>
                <w:sz w:val="22"/>
                <w:highlight w:val="none"/>
                <w14:textFill>
                  <w14:solidFill>
                    <w14:schemeClr w14:val="tx1"/>
                  </w14:solidFill>
                </w14:textFill>
              </w:rPr>
            </w:pPr>
            <w:r>
              <w:rPr>
                <w:rFonts w:hint="eastAsia" w:asciiTheme="minorEastAsia" w:hAnsiTheme="minorEastAsia" w:eastAsiaTheme="minorEastAsia" w:cstheme="minorEastAsia"/>
                <w:color w:val="000000" w:themeColor="text1"/>
                <w:sz w:val="22"/>
                <w:highlight w:val="none"/>
                <w14:textFill>
                  <w14:solidFill>
                    <w14:schemeClr w14:val="tx1"/>
                  </w14:solidFill>
                </w14:textFill>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勘察阶段</w:t>
            </w:r>
          </w:p>
        </w:tc>
        <w:tc>
          <w:tcPr>
            <w:tcW w:w="4439" w:type="dxa"/>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协助发包人编制勘察要求、选择勘察单位，核查勘察方案并监督实施和进行相应的控制，参与验收勘察成果</w:t>
            </w:r>
          </w:p>
        </w:tc>
        <w:tc>
          <w:tcPr>
            <w:tcW w:w="2841" w:type="dxa"/>
            <w:vMerge w:val="restart"/>
            <w:vAlign w:val="center"/>
          </w:tcPr>
          <w:p>
            <w:pPr>
              <w:jc w:val="center"/>
              <w:rPr>
                <w:rFonts w:hint="eastAsia" w:asciiTheme="minorEastAsia" w:hAnsiTheme="minorEastAsia" w:eastAsiaTheme="minorEastAsia" w:cstheme="minorEastAsia"/>
                <w:color w:val="000000" w:themeColor="text1"/>
                <w:sz w:val="22"/>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建设工程勘察、设计、施工、保修等阶段监理与相关服务的具体工作内容执行国家、行业相关规范、规定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设计阶段</w:t>
            </w:r>
          </w:p>
        </w:tc>
        <w:tc>
          <w:tcPr>
            <w:tcW w:w="4439" w:type="dxa"/>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协助发包人编制设计要求、选择设计单位，组织评选设计方案，对各设计单位进行协调管理，监督合同执行，审查设计进度并监督实施，核查设计大纲和设计深度、使用技术规范合理性，提出设计评估报告（包括各阶段设计的核查意见和优化建议），协助审核设计概算。</w:t>
            </w:r>
          </w:p>
        </w:tc>
        <w:tc>
          <w:tcPr>
            <w:tcW w:w="2841" w:type="dxa"/>
            <w:vMerge w:val="continue"/>
            <w:vAlign w:val="center"/>
          </w:tcPr>
          <w:p>
            <w:pPr>
              <w:jc w:val="center"/>
              <w:rPr>
                <w:rFonts w:hint="eastAsia" w:asciiTheme="minorEastAsia" w:hAnsiTheme="minorEastAsia" w:eastAsiaTheme="minorEastAsia" w:cstheme="minorEastAsia"/>
                <w:color w:val="000000" w:themeColor="text1"/>
                <w:sz w:val="22"/>
                <w:highlight w:val="none"/>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施工阶段</w:t>
            </w:r>
          </w:p>
        </w:tc>
        <w:tc>
          <w:tcPr>
            <w:tcW w:w="4439" w:type="dxa"/>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施工过程的质量、进度、费用控制，安全生产监督管理、合同、信息等方面的协同管理。</w:t>
            </w:r>
          </w:p>
        </w:tc>
        <w:tc>
          <w:tcPr>
            <w:tcW w:w="2841" w:type="dxa"/>
            <w:vMerge w:val="continue"/>
            <w:vAlign w:val="center"/>
          </w:tcPr>
          <w:p>
            <w:pPr>
              <w:jc w:val="center"/>
              <w:rPr>
                <w:rFonts w:hint="eastAsia" w:asciiTheme="minorEastAsia" w:hAnsiTheme="minorEastAsia" w:eastAsiaTheme="minorEastAsia" w:cstheme="minorEastAsia"/>
                <w:color w:val="000000" w:themeColor="text1"/>
                <w:sz w:val="22"/>
                <w:highlight w:val="none"/>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保修阶段</w:t>
            </w:r>
          </w:p>
        </w:tc>
        <w:tc>
          <w:tcPr>
            <w:tcW w:w="4439" w:type="dxa"/>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检查和记录工程质量缺陷，对缺陷原因进行调查分析并确定责任归属，审核修复方案，监督修复过程并验收，审核修复费用。</w:t>
            </w:r>
          </w:p>
        </w:tc>
        <w:tc>
          <w:tcPr>
            <w:tcW w:w="2841" w:type="dxa"/>
            <w:vMerge w:val="continue"/>
            <w:vAlign w:val="center"/>
          </w:tcPr>
          <w:p>
            <w:pPr>
              <w:jc w:val="center"/>
              <w:rPr>
                <w:rFonts w:hint="eastAsia" w:asciiTheme="minorEastAsia" w:hAnsiTheme="minorEastAsia" w:eastAsiaTheme="minorEastAsia" w:cstheme="minorEastAsia"/>
                <w:color w:val="000000" w:themeColor="text1"/>
                <w:sz w:val="22"/>
                <w:highlight w:val="none"/>
                <w14:textFill>
                  <w14:solidFill>
                    <w14:schemeClr w14:val="tx1"/>
                  </w14:solidFill>
                </w14:textFill>
              </w:rPr>
            </w:pPr>
          </w:p>
        </w:tc>
      </w:tr>
    </w:tbl>
    <w:p>
      <w:pPr>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附表二</w:t>
      </w:r>
    </w:p>
    <w:p>
      <w:pPr>
        <w:jc w:val="cente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建设工程监理与相关服务人员人工日费用标准</w:t>
      </w:r>
    </w:p>
    <w:tbl>
      <w:tblPr>
        <w:tblStyle w:val="12"/>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353"/>
        <w:gridCol w:w="31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353" w:type="dxa"/>
          </w:tcPr>
          <w:p>
            <w:pPr>
              <w:jc w:val="cente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建设工程监理与相关服务人员职级</w:t>
            </w:r>
          </w:p>
        </w:tc>
        <w:tc>
          <w:tcPr>
            <w:tcW w:w="3169" w:type="dxa"/>
          </w:tcPr>
          <w:p>
            <w:pPr>
              <w:jc w:val="cente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工日费用标准（元）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353" w:type="dxa"/>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高级专业技术职称以上的专家</w:t>
            </w:r>
          </w:p>
        </w:tc>
        <w:tc>
          <w:tcPr>
            <w:tcW w:w="3169" w:type="dxa"/>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353" w:type="dxa"/>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高级专业技术职称与相关服务人员</w:t>
            </w:r>
          </w:p>
        </w:tc>
        <w:tc>
          <w:tcPr>
            <w:tcW w:w="3169" w:type="dxa"/>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353" w:type="dxa"/>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中级专业技术职称与相关服务人员</w:t>
            </w:r>
          </w:p>
        </w:tc>
        <w:tc>
          <w:tcPr>
            <w:tcW w:w="3169" w:type="dxa"/>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900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5353" w:type="dxa"/>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初级及以下专业技术职称与相关服务人员</w:t>
            </w:r>
          </w:p>
        </w:tc>
        <w:tc>
          <w:tcPr>
            <w:tcW w:w="3169" w:type="dxa"/>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450</w:t>
            </w:r>
          </w:p>
        </w:tc>
      </w:tr>
    </w:tbl>
    <w:p>
      <w:pPr>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pPr>
    </w:p>
    <w:tbl>
      <w:tblPr>
        <w:tblStyle w:val="11"/>
        <w:tblW w:w="8773" w:type="dxa"/>
        <w:tblInd w:w="93" w:type="dxa"/>
        <w:tblLayout w:type="fixed"/>
        <w:tblCellMar>
          <w:top w:w="0" w:type="dxa"/>
          <w:left w:w="108" w:type="dxa"/>
          <w:bottom w:w="0" w:type="dxa"/>
          <w:right w:w="108" w:type="dxa"/>
        </w:tblCellMar>
      </w:tblPr>
      <w:tblGrid>
        <w:gridCol w:w="1672"/>
        <w:gridCol w:w="2961"/>
        <w:gridCol w:w="1404"/>
        <w:gridCol w:w="2736"/>
      </w:tblGrid>
      <w:tr>
        <w:tblPrEx>
          <w:tblLayout w:type="fixed"/>
          <w:tblCellMar>
            <w:top w:w="0" w:type="dxa"/>
            <w:left w:w="108" w:type="dxa"/>
            <w:bottom w:w="0" w:type="dxa"/>
            <w:right w:w="108" w:type="dxa"/>
          </w:tblCellMar>
        </w:tblPrEx>
        <w:trPr>
          <w:trHeight w:val="288" w:hRule="atLeast"/>
        </w:trPr>
        <w:tc>
          <w:tcPr>
            <w:tcW w:w="1672" w:type="dxa"/>
            <w:tcBorders>
              <w:top w:val="nil"/>
              <w:left w:val="nil"/>
              <w:bottom w:val="nil"/>
              <w:right w:val="nil"/>
            </w:tcBorders>
            <w:shd w:val="clear" w:color="auto" w:fill="auto"/>
            <w:vAlign w:val="center"/>
          </w:tcPr>
          <w:p>
            <w:pPr>
              <w:widowControl/>
              <w:rPr>
                <w:rFonts w:hint="eastAsia" w:asciiTheme="minorEastAsia" w:hAnsiTheme="minorEastAsia" w:eastAsiaTheme="minorEastAsia" w:cstheme="minorEastAsia"/>
                <w:b/>
                <w:color w:val="000000" w:themeColor="text1"/>
                <w:kern w:val="0"/>
                <w:sz w:val="22"/>
                <w:highlight w:val="none"/>
                <w14:textFill>
                  <w14:solidFill>
                    <w14:schemeClr w14:val="tx1"/>
                  </w14:solidFill>
                </w14:textFill>
              </w:rPr>
            </w:pPr>
          </w:p>
          <w:p>
            <w:pPr>
              <w:widowControl/>
              <w:rPr>
                <w:rFonts w:hint="eastAsia" w:asciiTheme="minorEastAsia" w:hAnsiTheme="minorEastAsia" w:eastAsiaTheme="minorEastAsia" w:cstheme="minorEastAsia"/>
                <w:b/>
                <w:color w:val="000000" w:themeColor="text1"/>
                <w:kern w:val="0"/>
                <w:sz w:val="22"/>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t>附表三</w:t>
            </w:r>
          </w:p>
        </w:tc>
        <w:tc>
          <w:tcPr>
            <w:tcW w:w="2961" w:type="dxa"/>
            <w:tcBorders>
              <w:top w:val="nil"/>
              <w:left w:val="nil"/>
              <w:bottom w:val="nil"/>
              <w:right w:val="nil"/>
            </w:tcBorders>
            <w:shd w:val="clear" w:color="auto" w:fill="auto"/>
            <w:vAlign w:val="center"/>
          </w:tcPr>
          <w:p>
            <w:pPr>
              <w:widowControl/>
              <w:jc w:val="left"/>
              <w:rPr>
                <w:rFonts w:hint="eastAsia" w:asciiTheme="minorEastAsia" w:hAnsiTheme="minorEastAsia" w:eastAsiaTheme="minorEastAsia" w:cstheme="minorEastAsia"/>
                <w:color w:val="000000" w:themeColor="text1"/>
                <w:kern w:val="0"/>
                <w:sz w:val="22"/>
                <w:highlight w:val="none"/>
                <w14:textFill>
                  <w14:solidFill>
                    <w14:schemeClr w14:val="tx1"/>
                  </w14:solidFill>
                </w14:textFill>
              </w:rPr>
            </w:pPr>
          </w:p>
        </w:tc>
        <w:tc>
          <w:tcPr>
            <w:tcW w:w="1404" w:type="dxa"/>
            <w:tcBorders>
              <w:top w:val="nil"/>
              <w:left w:val="nil"/>
              <w:bottom w:val="nil"/>
              <w:right w:val="nil"/>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2"/>
                <w:highlight w:val="none"/>
                <w14:textFill>
                  <w14:solidFill>
                    <w14:schemeClr w14:val="tx1"/>
                  </w14:solidFill>
                </w14:textFill>
              </w:rPr>
            </w:pPr>
          </w:p>
        </w:tc>
        <w:tc>
          <w:tcPr>
            <w:tcW w:w="2736" w:type="dxa"/>
            <w:tcBorders>
              <w:top w:val="nil"/>
              <w:left w:val="nil"/>
              <w:bottom w:val="nil"/>
              <w:right w:val="nil"/>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2"/>
                <w:highlight w:val="none"/>
                <w14:textFill>
                  <w14:solidFill>
                    <w14:schemeClr w14:val="tx1"/>
                  </w14:solidFill>
                </w14:textFill>
              </w:rPr>
            </w:pPr>
          </w:p>
        </w:tc>
      </w:tr>
      <w:tr>
        <w:tblPrEx>
          <w:tblLayout w:type="fixed"/>
          <w:tblCellMar>
            <w:top w:w="0" w:type="dxa"/>
            <w:left w:w="108" w:type="dxa"/>
            <w:bottom w:w="0" w:type="dxa"/>
            <w:right w:w="108" w:type="dxa"/>
          </w:tblCellMar>
        </w:tblPrEx>
        <w:trPr>
          <w:trHeight w:val="288" w:hRule="atLeast"/>
        </w:trPr>
        <w:tc>
          <w:tcPr>
            <w:tcW w:w="8773" w:type="dxa"/>
            <w:gridSpan w:val="4"/>
            <w:tcBorders>
              <w:top w:val="nil"/>
              <w:left w:val="nil"/>
              <w:bottom w:val="nil"/>
              <w:right w:val="nil"/>
            </w:tcBorders>
            <w:shd w:val="clear" w:color="auto" w:fill="auto"/>
            <w:vAlign w:val="center"/>
          </w:tcPr>
          <w:p>
            <w:pPr>
              <w:widowControl/>
              <w:ind w:firstLine="3092" w:firstLineChars="1400"/>
              <w:rPr>
                <w:rFonts w:hint="eastAsia" w:asciiTheme="minorEastAsia" w:hAnsiTheme="minorEastAsia" w:eastAsiaTheme="minorEastAsia" w:cstheme="minorEastAsia"/>
                <w:b/>
                <w:color w:val="000000" w:themeColor="text1"/>
                <w:kern w:val="0"/>
                <w:sz w:val="22"/>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2"/>
                <w:highlight w:val="none"/>
                <w14:textFill>
                  <w14:solidFill>
                    <w14:schemeClr w14:val="tx1"/>
                  </w14:solidFill>
                </w14:textFill>
              </w:rPr>
              <w:t xml:space="preserve"> </w:t>
            </w:r>
            <w:r>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t xml:space="preserve">工程监理费基价表 </w:t>
            </w:r>
            <w:r>
              <w:rPr>
                <w:rFonts w:hint="eastAsia" w:asciiTheme="minorEastAsia" w:hAnsiTheme="minorEastAsia" w:eastAsiaTheme="minorEastAsia" w:cstheme="minorEastAsia"/>
                <w:b/>
                <w:color w:val="000000" w:themeColor="text1"/>
                <w:kern w:val="0"/>
                <w:sz w:val="22"/>
                <w:highlight w:val="none"/>
                <w14:textFill>
                  <w14:solidFill>
                    <w14:schemeClr w14:val="tx1"/>
                  </w14:solidFill>
                </w14:textFill>
              </w:rPr>
              <w:t xml:space="preserve">     </w:t>
            </w:r>
          </w:p>
          <w:p>
            <w:pPr>
              <w:widowControl/>
              <w:jc w:val="center"/>
              <w:rPr>
                <w:rFonts w:hint="eastAsia" w:asciiTheme="minorEastAsia" w:hAnsiTheme="minorEastAsia" w:eastAsiaTheme="minorEastAsia" w:cstheme="minorEastAsia"/>
                <w:color w:val="000000" w:themeColor="text1"/>
                <w:kern w:val="0"/>
                <w:sz w:val="22"/>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2"/>
                <w:highlight w:val="none"/>
                <w14:textFill>
                  <w14:solidFill>
                    <w14:schemeClr w14:val="tx1"/>
                  </w14:solidFill>
                </w14:textFill>
              </w:rPr>
              <w:t xml:space="preserve">                                                               单位：万元</w:t>
            </w:r>
          </w:p>
          <w:tbl>
            <w:tblPr>
              <w:tblStyle w:val="11"/>
              <w:tblW w:w="8275" w:type="dxa"/>
              <w:jc w:val="center"/>
              <w:tblInd w:w="0" w:type="dxa"/>
              <w:tblLayout w:type="fixed"/>
              <w:tblCellMar>
                <w:top w:w="0" w:type="dxa"/>
                <w:left w:w="108" w:type="dxa"/>
                <w:bottom w:w="0" w:type="dxa"/>
                <w:right w:w="108" w:type="dxa"/>
              </w:tblCellMar>
            </w:tblPr>
            <w:tblGrid>
              <w:gridCol w:w="960"/>
              <w:gridCol w:w="3321"/>
              <w:gridCol w:w="3994"/>
            </w:tblGrid>
            <w:tr>
              <w:tblPrEx>
                <w:tblLayout w:type="fixed"/>
                <w:tblCellMar>
                  <w:top w:w="0" w:type="dxa"/>
                  <w:left w:w="108" w:type="dxa"/>
                  <w:bottom w:w="0" w:type="dxa"/>
                  <w:right w:w="108" w:type="dxa"/>
                </w:tblCellMar>
              </w:tblPrEx>
              <w:trPr>
                <w:trHeight w:val="288"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序号</w:t>
                  </w:r>
                </w:p>
              </w:tc>
              <w:tc>
                <w:tcPr>
                  <w:tcW w:w="33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计费</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基数</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（万元）</w:t>
                  </w:r>
                </w:p>
              </w:tc>
              <w:tc>
                <w:tcPr>
                  <w:tcW w:w="39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计</w:t>
                  </w: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费基价（上限值）</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w:t>
                  </w:r>
                </w:p>
              </w:tc>
              <w:tc>
                <w:tcPr>
                  <w:tcW w:w="3321"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500</w:t>
                  </w:r>
                </w:p>
              </w:tc>
              <w:tc>
                <w:tcPr>
                  <w:tcW w:w="3994" w:type="dxa"/>
                  <w:tcBorders>
                    <w:top w:val="nil"/>
                    <w:left w:val="nil"/>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cstheme="minorEastAsia"/>
                      <w:color w:val="000000" w:themeColor="text1"/>
                      <w:kern w:val="0"/>
                      <w:sz w:val="24"/>
                      <w:szCs w:val="24"/>
                      <w:highlight w:val="none"/>
                      <w:lang w:val="en-US" w:eastAsia="zh-CN"/>
                      <w14:textFill>
                        <w14:solidFill>
                          <w14:schemeClr w14:val="tx1"/>
                        </w14:solidFill>
                      </w14:textFill>
                    </w:rPr>
                    <w:t>11.88</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w:t>
                  </w:r>
                </w:p>
              </w:tc>
              <w:tc>
                <w:tcPr>
                  <w:tcW w:w="3321"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1000</w:t>
                  </w:r>
                </w:p>
              </w:tc>
              <w:tc>
                <w:tcPr>
                  <w:tcW w:w="3994" w:type="dxa"/>
                  <w:tcBorders>
                    <w:top w:val="nil"/>
                    <w:left w:val="nil"/>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cstheme="minorEastAsia"/>
                      <w:color w:val="000000" w:themeColor="text1"/>
                      <w:kern w:val="0"/>
                      <w:sz w:val="24"/>
                      <w:szCs w:val="24"/>
                      <w:highlight w:val="none"/>
                      <w:lang w:val="en-US" w:eastAsia="zh-CN"/>
                      <w14:textFill>
                        <w14:solidFill>
                          <w14:schemeClr w14:val="tx1"/>
                        </w14:solidFill>
                      </w14:textFill>
                    </w:rPr>
                    <w:t>21.67</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3</w:t>
                  </w:r>
                </w:p>
              </w:tc>
              <w:tc>
                <w:tcPr>
                  <w:tcW w:w="3321"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3000</w:t>
                  </w:r>
                </w:p>
              </w:tc>
              <w:tc>
                <w:tcPr>
                  <w:tcW w:w="3994" w:type="dxa"/>
                  <w:tcBorders>
                    <w:top w:val="nil"/>
                    <w:left w:val="nil"/>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cstheme="minorEastAsia"/>
                      <w:color w:val="000000" w:themeColor="text1"/>
                      <w:kern w:val="0"/>
                      <w:sz w:val="24"/>
                      <w:szCs w:val="24"/>
                      <w:highlight w:val="none"/>
                      <w:lang w:val="en-US" w:eastAsia="zh-CN"/>
                      <w14:textFill>
                        <w14:solidFill>
                          <w14:schemeClr w14:val="tx1"/>
                        </w14:solidFill>
                      </w14:textFill>
                    </w:rPr>
                    <w:t>56.23</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4</w:t>
                  </w:r>
                </w:p>
              </w:tc>
              <w:tc>
                <w:tcPr>
                  <w:tcW w:w="3321"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5000</w:t>
                  </w:r>
                </w:p>
              </w:tc>
              <w:tc>
                <w:tcPr>
                  <w:tcW w:w="3994" w:type="dxa"/>
                  <w:tcBorders>
                    <w:top w:val="nil"/>
                    <w:left w:val="nil"/>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cstheme="minorEastAsia"/>
                      <w:color w:val="000000" w:themeColor="text1"/>
                      <w:kern w:val="0"/>
                      <w:sz w:val="24"/>
                      <w:szCs w:val="24"/>
                      <w:highlight w:val="none"/>
                      <w:lang w:val="en-US" w:eastAsia="zh-CN"/>
                      <w14:textFill>
                        <w14:solidFill>
                          <w14:schemeClr w14:val="tx1"/>
                        </w14:solidFill>
                      </w14:textFill>
                    </w:rPr>
                    <w:t>86.98</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5</w:t>
                  </w:r>
                </w:p>
              </w:tc>
              <w:tc>
                <w:tcPr>
                  <w:tcW w:w="3321"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8000</w:t>
                  </w:r>
                </w:p>
              </w:tc>
              <w:tc>
                <w:tcPr>
                  <w:tcW w:w="3994" w:type="dxa"/>
                  <w:tcBorders>
                    <w:top w:val="nil"/>
                    <w:left w:val="nil"/>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w:t>
                  </w:r>
                  <w:r>
                    <w:rPr>
                      <w:rFonts w:hint="eastAsia" w:asciiTheme="minorEastAsia" w:hAnsiTheme="minorEastAsia" w:cstheme="minorEastAsia"/>
                      <w:color w:val="000000" w:themeColor="text1"/>
                      <w:kern w:val="0"/>
                      <w:sz w:val="24"/>
                      <w:szCs w:val="24"/>
                      <w:highlight w:val="none"/>
                      <w:lang w:val="en-US" w:eastAsia="zh-CN"/>
                      <w14:textFill>
                        <w14:solidFill>
                          <w14:schemeClr w14:val="tx1"/>
                        </w14:solidFill>
                      </w14:textFill>
                    </w:rPr>
                    <w:t>30.54</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6</w:t>
                  </w:r>
                </w:p>
              </w:tc>
              <w:tc>
                <w:tcPr>
                  <w:tcW w:w="3321"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10000</w:t>
                  </w:r>
                </w:p>
              </w:tc>
              <w:tc>
                <w:tcPr>
                  <w:tcW w:w="3994" w:type="dxa"/>
                  <w:tcBorders>
                    <w:top w:val="nil"/>
                    <w:left w:val="nil"/>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w:t>
                  </w:r>
                  <w:r>
                    <w:rPr>
                      <w:rFonts w:hint="eastAsia" w:asciiTheme="minorEastAsia" w:hAnsiTheme="minorEastAsia" w:cstheme="minorEastAsia"/>
                      <w:color w:val="000000" w:themeColor="text1"/>
                      <w:kern w:val="0"/>
                      <w:sz w:val="24"/>
                      <w:szCs w:val="24"/>
                      <w:highlight w:val="none"/>
                      <w:lang w:val="en-US" w:eastAsia="zh-CN"/>
                      <w14:textFill>
                        <w14:solidFill>
                          <w14:schemeClr w14:val="tx1"/>
                        </w14:solidFill>
                      </w14:textFill>
                    </w:rPr>
                    <w:t>57.39</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7</w:t>
                  </w:r>
                </w:p>
              </w:tc>
              <w:tc>
                <w:tcPr>
                  <w:tcW w:w="3321"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20000</w:t>
                  </w:r>
                </w:p>
              </w:tc>
              <w:tc>
                <w:tcPr>
                  <w:tcW w:w="3994" w:type="dxa"/>
                  <w:tcBorders>
                    <w:top w:val="nil"/>
                    <w:left w:val="nil"/>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cstheme="minorEastAsia"/>
                      <w:color w:val="000000" w:themeColor="text1"/>
                      <w:kern w:val="0"/>
                      <w:sz w:val="24"/>
                      <w:szCs w:val="24"/>
                      <w:highlight w:val="none"/>
                      <w:lang w:val="en-US" w:eastAsia="zh-CN"/>
                      <w14:textFill>
                        <w14:solidFill>
                          <w14:schemeClr w14:val="tx1"/>
                        </w14:solidFill>
                      </w14:textFill>
                    </w:rPr>
                    <w:t>283.25</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8</w:t>
                  </w:r>
                </w:p>
              </w:tc>
              <w:tc>
                <w:tcPr>
                  <w:tcW w:w="3321"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40000</w:t>
                  </w:r>
                </w:p>
              </w:tc>
              <w:tc>
                <w:tcPr>
                  <w:tcW w:w="3994" w:type="dxa"/>
                  <w:tcBorders>
                    <w:top w:val="nil"/>
                    <w:left w:val="nil"/>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5</w:t>
                  </w:r>
                  <w:r>
                    <w:rPr>
                      <w:rFonts w:hint="eastAsia" w:asciiTheme="minorEastAsia" w:hAnsiTheme="minorEastAsia" w:cstheme="minorEastAsia"/>
                      <w:color w:val="000000" w:themeColor="text1"/>
                      <w:kern w:val="0"/>
                      <w:sz w:val="24"/>
                      <w:szCs w:val="24"/>
                      <w:highlight w:val="none"/>
                      <w:lang w:val="en-US" w:eastAsia="zh-CN"/>
                      <w14:textFill>
                        <w14:solidFill>
                          <w14:schemeClr w14:val="tx1"/>
                        </w14:solidFill>
                      </w14:textFill>
                    </w:rPr>
                    <w:t>09.90</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9</w:t>
                  </w:r>
                </w:p>
              </w:tc>
              <w:tc>
                <w:tcPr>
                  <w:tcW w:w="3321"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60000</w:t>
                  </w:r>
                </w:p>
              </w:tc>
              <w:tc>
                <w:tcPr>
                  <w:tcW w:w="3994" w:type="dxa"/>
                  <w:tcBorders>
                    <w:top w:val="nil"/>
                    <w:left w:val="nil"/>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cstheme="minorEastAsia"/>
                      <w:color w:val="000000" w:themeColor="text1"/>
                      <w:kern w:val="0"/>
                      <w:sz w:val="24"/>
                      <w:szCs w:val="24"/>
                      <w:highlight w:val="none"/>
                      <w:lang w:val="en-US" w:eastAsia="zh-CN"/>
                      <w14:textFill>
                        <w14:solidFill>
                          <w14:schemeClr w14:val="tx1"/>
                        </w14:solidFill>
                      </w14:textFill>
                    </w:rPr>
                    <w:t>713.81</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0</w:t>
                  </w:r>
                </w:p>
              </w:tc>
              <w:tc>
                <w:tcPr>
                  <w:tcW w:w="3321"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80000</w:t>
                  </w:r>
                </w:p>
              </w:tc>
              <w:tc>
                <w:tcPr>
                  <w:tcW w:w="3994" w:type="dxa"/>
                  <w:tcBorders>
                    <w:top w:val="nil"/>
                    <w:left w:val="nil"/>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cstheme="minorEastAsia"/>
                      <w:color w:val="000000" w:themeColor="text1"/>
                      <w:kern w:val="0"/>
                      <w:sz w:val="24"/>
                      <w:szCs w:val="24"/>
                      <w:highlight w:val="none"/>
                      <w:lang w:val="en-US" w:eastAsia="zh-CN"/>
                      <w14:textFill>
                        <w14:solidFill>
                          <w14:schemeClr w14:val="tx1"/>
                        </w14:solidFill>
                      </w14:textFill>
                    </w:rPr>
                    <w:t>904.18</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1</w:t>
                  </w:r>
                </w:p>
              </w:tc>
              <w:tc>
                <w:tcPr>
                  <w:tcW w:w="3321"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100000</w:t>
                  </w:r>
                </w:p>
              </w:tc>
              <w:tc>
                <w:tcPr>
                  <w:tcW w:w="3994" w:type="dxa"/>
                  <w:tcBorders>
                    <w:top w:val="nil"/>
                    <w:left w:val="nil"/>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w:t>
                  </w:r>
                  <w:r>
                    <w:rPr>
                      <w:rFonts w:hint="eastAsia" w:asciiTheme="minorEastAsia" w:hAnsiTheme="minorEastAsia" w:cstheme="minorEastAsia"/>
                      <w:color w:val="000000" w:themeColor="text1"/>
                      <w:kern w:val="0"/>
                      <w:sz w:val="24"/>
                      <w:szCs w:val="24"/>
                      <w:highlight w:val="none"/>
                      <w:lang w:val="en-US" w:eastAsia="zh-CN"/>
                      <w14:textFill>
                        <w14:solidFill>
                          <w14:schemeClr w14:val="tx1"/>
                        </w14:solidFill>
                      </w14:textFill>
                    </w:rPr>
                    <w:t>017.23</w:t>
                  </w:r>
                </w:p>
              </w:tc>
            </w:tr>
            <w:tr>
              <w:tblPrEx>
                <w:tblLayout w:type="fixed"/>
                <w:tblCellMar>
                  <w:top w:w="0" w:type="dxa"/>
                  <w:left w:w="108" w:type="dxa"/>
                  <w:bottom w:w="0" w:type="dxa"/>
                  <w:right w:w="108" w:type="dxa"/>
                </w:tblCellMar>
              </w:tblPrEx>
              <w:trPr>
                <w:trHeight w:val="288"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2</w:t>
                  </w:r>
                </w:p>
              </w:tc>
              <w:tc>
                <w:tcPr>
                  <w:tcW w:w="33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200000</w:t>
                  </w:r>
                </w:p>
              </w:tc>
              <w:tc>
                <w:tcPr>
                  <w:tcW w:w="39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cstheme="minorEastAsia"/>
                      <w:color w:val="000000" w:themeColor="text1"/>
                      <w:kern w:val="0"/>
                      <w:sz w:val="24"/>
                      <w:szCs w:val="24"/>
                      <w:highlight w:val="none"/>
                      <w:lang w:val="en-US" w:eastAsia="zh-CN"/>
                      <w14:textFill>
                        <w14:solidFill>
                          <w14:schemeClr w14:val="tx1"/>
                        </w14:solidFill>
                      </w14:textFill>
                    </w:rPr>
                    <w:t>1830.94</w:t>
                  </w:r>
                </w:p>
              </w:tc>
            </w:tr>
            <w:tr>
              <w:tblPrEx>
                <w:tblLayout w:type="fixed"/>
                <w:tblCellMar>
                  <w:top w:w="0" w:type="dxa"/>
                  <w:left w:w="108" w:type="dxa"/>
                  <w:bottom w:w="0" w:type="dxa"/>
                  <w:right w:w="108" w:type="dxa"/>
                </w:tblCellMar>
              </w:tblPrEx>
              <w:trPr>
                <w:trHeight w:val="288"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3</w:t>
                  </w:r>
                </w:p>
              </w:tc>
              <w:tc>
                <w:tcPr>
                  <w:tcW w:w="33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400000</w:t>
                  </w:r>
                </w:p>
              </w:tc>
              <w:tc>
                <w:tcPr>
                  <w:tcW w:w="39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3</w:t>
                  </w:r>
                  <w:r>
                    <w:rPr>
                      <w:rFonts w:hint="eastAsia" w:asciiTheme="minorEastAsia" w:hAnsiTheme="minorEastAsia" w:cstheme="minorEastAsia"/>
                      <w:color w:val="000000" w:themeColor="text1"/>
                      <w:kern w:val="0"/>
                      <w:sz w:val="24"/>
                      <w:szCs w:val="24"/>
                      <w:highlight w:val="none"/>
                      <w:lang w:val="en-US" w:eastAsia="zh-CN"/>
                      <w14:textFill>
                        <w14:solidFill>
                          <w14:schemeClr w14:val="tx1"/>
                        </w14:solidFill>
                      </w14:textFill>
                    </w:rPr>
                    <w:t>295.76</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4</w:t>
                  </w:r>
                </w:p>
              </w:tc>
              <w:tc>
                <w:tcPr>
                  <w:tcW w:w="3321" w:type="dxa"/>
                  <w:tcBorders>
                    <w:top w:val="nil"/>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600000</w:t>
                  </w:r>
                </w:p>
              </w:tc>
              <w:tc>
                <w:tcPr>
                  <w:tcW w:w="3994" w:type="dxa"/>
                  <w:tcBorders>
                    <w:top w:val="nil"/>
                    <w:left w:val="nil"/>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4</w:t>
                  </w:r>
                  <w:r>
                    <w:rPr>
                      <w:rFonts w:hint="eastAsia" w:asciiTheme="minorEastAsia" w:hAnsiTheme="minorEastAsia" w:cstheme="minorEastAsia"/>
                      <w:color w:val="000000" w:themeColor="text1"/>
                      <w:kern w:val="0"/>
                      <w:sz w:val="24"/>
                      <w:szCs w:val="24"/>
                      <w:highlight w:val="none"/>
                      <w:lang w:val="en-US" w:eastAsia="zh-CN"/>
                      <w14:textFill>
                        <w14:solidFill>
                          <w14:schemeClr w14:val="tx1"/>
                        </w14:solidFill>
                      </w14:textFill>
                    </w:rPr>
                    <w:t>306.43</w:t>
                  </w:r>
                </w:p>
              </w:tc>
            </w:tr>
            <w:tr>
              <w:tblPrEx>
                <w:tblLayout w:type="fixed"/>
                <w:tblCellMar>
                  <w:top w:w="0" w:type="dxa"/>
                  <w:left w:w="108" w:type="dxa"/>
                  <w:bottom w:w="0" w:type="dxa"/>
                  <w:right w:w="108" w:type="dxa"/>
                </w:tblCellMar>
              </w:tblPrEx>
              <w:trPr>
                <w:trHeight w:val="288"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5</w:t>
                  </w:r>
                </w:p>
              </w:tc>
              <w:tc>
                <w:tcPr>
                  <w:tcW w:w="33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800000</w:t>
                  </w:r>
                </w:p>
              </w:tc>
              <w:tc>
                <w:tcPr>
                  <w:tcW w:w="39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cstheme="minorEastAsia"/>
                      <w:color w:val="000000" w:themeColor="text1"/>
                      <w:kern w:val="0"/>
                      <w:sz w:val="24"/>
                      <w:szCs w:val="24"/>
                      <w:highlight w:val="none"/>
                      <w:lang w:val="en-US" w:eastAsia="zh-CN"/>
                      <w14:textFill>
                        <w14:solidFill>
                          <w14:schemeClr w14:val="tx1"/>
                        </w14:solidFill>
                      </w14:textFill>
                    </w:rPr>
                    <w:t>5454.79</w:t>
                  </w:r>
                </w:p>
              </w:tc>
            </w:tr>
            <w:tr>
              <w:tblPrEx>
                <w:tblLayout w:type="fixed"/>
                <w:tblCellMar>
                  <w:top w:w="0" w:type="dxa"/>
                  <w:left w:w="108" w:type="dxa"/>
                  <w:bottom w:w="0" w:type="dxa"/>
                  <w:right w:w="108" w:type="dxa"/>
                </w:tblCellMar>
              </w:tblPrEx>
              <w:trPr>
                <w:trHeight w:val="288"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t>6</w:t>
                  </w:r>
                </w:p>
              </w:tc>
              <w:tc>
                <w:tcPr>
                  <w:tcW w:w="33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1000000</w:t>
                  </w:r>
                </w:p>
              </w:tc>
              <w:tc>
                <w:tcPr>
                  <w:tcW w:w="39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heme="minorEastAsia" w:hAnsiTheme="minorEastAsia" w:eastAsiaTheme="minorEastAsia" w:cstheme="minorEastAsia"/>
                      <w:color w:val="000000" w:themeColor="text1"/>
                      <w:kern w:val="0"/>
                      <w:sz w:val="24"/>
                      <w:szCs w:val="24"/>
                      <w:highlight w:val="none"/>
                      <w:lang w:val="en-US" w:eastAsia="zh-CN"/>
                      <w14:textFill>
                        <w14:solidFill>
                          <w14:schemeClr w14:val="tx1"/>
                        </w14:solidFill>
                      </w14:textFill>
                    </w:rPr>
                  </w:pPr>
                  <w:r>
                    <w:rPr>
                      <w:rFonts w:hint="eastAsia" w:asciiTheme="minorEastAsia" w:hAnsiTheme="minorEastAsia" w:cstheme="minorEastAsia"/>
                      <w:color w:val="000000" w:themeColor="text1"/>
                      <w:kern w:val="0"/>
                      <w:sz w:val="24"/>
                      <w:szCs w:val="24"/>
                      <w:highlight w:val="none"/>
                      <w:lang w:val="en-US" w:eastAsia="zh-CN"/>
                      <w14:textFill>
                        <w14:solidFill>
                          <w14:schemeClr w14:val="tx1"/>
                        </w14:solidFill>
                      </w14:textFill>
                    </w:rPr>
                    <w:t>6545.76</w:t>
                  </w:r>
                </w:p>
              </w:tc>
            </w:tr>
          </w:tbl>
          <w:p>
            <w:pPr>
              <w:widowControl/>
              <w:jc w:val="center"/>
              <w:rPr>
                <w:rFonts w:hint="eastAsia" w:asciiTheme="minorEastAsia" w:hAnsiTheme="minorEastAsia" w:eastAsiaTheme="minorEastAsia" w:cstheme="minorEastAsia"/>
                <w:color w:val="000000" w:themeColor="text1"/>
                <w:kern w:val="0"/>
                <w:sz w:val="22"/>
                <w:highlight w:val="none"/>
                <w14:textFill>
                  <w14:solidFill>
                    <w14:schemeClr w14:val="tx1"/>
                  </w14:solidFill>
                </w14:textFill>
              </w:rPr>
            </w:pPr>
          </w:p>
        </w:tc>
      </w:tr>
    </w:tbl>
    <w:p>
      <w:pPr>
        <w:spacing w:beforeLines="50"/>
        <w:ind w:firstLine="240" w:firstLineChars="10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t>注：1.计费</w:t>
      </w:r>
      <w:r>
        <w:rPr>
          <w:rFonts w:hint="eastAsia" w:asciiTheme="minorEastAsia" w:hAnsiTheme="minorEastAsia" w:eastAsiaTheme="minorEastAsia" w:cstheme="minorEastAsia"/>
          <w:color w:val="000000" w:themeColor="text1"/>
          <w:sz w:val="24"/>
          <w:szCs w:val="21"/>
          <w:highlight w:val="none"/>
          <w:lang w:val="en-US" w:eastAsia="zh-CN"/>
          <w14:textFill>
            <w14:solidFill>
              <w14:schemeClr w14:val="tx1"/>
            </w14:solidFill>
          </w14:textFill>
        </w:rPr>
        <w:t>基数</w:t>
      </w:r>
      <w:r>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t>处于两个数值区间的，采用直线内插法计算。</w:t>
      </w:r>
    </w:p>
    <w:p>
      <w:pPr>
        <w:spacing w:beforeLines="50"/>
        <w:ind w:firstLine="720" w:firstLineChars="300"/>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t>2.大于1000000万元按投资额0.</w:t>
      </w:r>
      <w:r>
        <w:rPr>
          <w:rFonts w:hint="eastAsia" w:asciiTheme="minorEastAsia" w:hAnsiTheme="minorEastAsia" w:cstheme="minorEastAsia"/>
          <w:color w:val="000000" w:themeColor="text1"/>
          <w:sz w:val="24"/>
          <w:szCs w:val="21"/>
          <w:highlight w:val="none"/>
          <w:lang w:val="en-US" w:eastAsia="zh-CN"/>
          <w14:textFill>
            <w14:solidFill>
              <w14:schemeClr w14:val="tx1"/>
            </w14:solidFill>
          </w14:textFill>
        </w:rPr>
        <w:t>63</w:t>
      </w:r>
      <w:r>
        <w:rPr>
          <w:rFonts w:hint="eastAsia" w:asciiTheme="minorEastAsia" w:hAnsiTheme="minorEastAsia" w:eastAsiaTheme="minorEastAsia" w:cstheme="minorEastAsia"/>
          <w:color w:val="000000" w:themeColor="text1"/>
          <w:sz w:val="24"/>
          <w:szCs w:val="21"/>
          <w:highlight w:val="none"/>
          <w14:textFill>
            <w14:solidFill>
              <w14:schemeClr w14:val="tx1"/>
            </w14:solidFill>
          </w14:textFill>
        </w:rPr>
        <w:t>%计。</w:t>
      </w:r>
    </w:p>
    <w:p>
      <w:pPr>
        <w:widowControl/>
        <w:ind w:firstLine="883" w:firstLineChars="400"/>
        <w:rPr>
          <w:rFonts w:hint="eastAsia" w:asciiTheme="minorEastAsia" w:hAnsiTheme="minorEastAsia" w:eastAsiaTheme="minorEastAsia" w:cstheme="minorEastAsia"/>
          <w:b/>
          <w:color w:val="000000" w:themeColor="text1"/>
          <w:kern w:val="0"/>
          <w:sz w:val="22"/>
          <w:highlight w:val="none"/>
          <w14:textFill>
            <w14:solidFill>
              <w14:schemeClr w14:val="tx1"/>
            </w14:solidFill>
          </w14:textFill>
        </w:rPr>
      </w:pPr>
    </w:p>
    <w:p>
      <w:pPr>
        <w:widowControl/>
        <w:rPr>
          <w:rFonts w:hint="eastAsia" w:asciiTheme="minorEastAsia" w:hAnsiTheme="minorEastAsia" w:eastAsiaTheme="minorEastAsia" w:cstheme="minorEastAsia"/>
          <w:b/>
          <w:color w:val="000000" w:themeColor="text1"/>
          <w:kern w:val="0"/>
          <w:sz w:val="22"/>
          <w:highlight w:val="none"/>
          <w14:textFill>
            <w14:solidFill>
              <w14:schemeClr w14:val="tx1"/>
            </w14:solidFill>
          </w14:textFill>
        </w:rPr>
      </w:pPr>
    </w:p>
    <w:p>
      <w:pPr>
        <w:widowControl/>
        <w:rPr>
          <w:rFonts w:hint="eastAsia" w:asciiTheme="minorEastAsia" w:hAnsiTheme="minorEastAsia" w:eastAsiaTheme="minorEastAsia" w:cstheme="minorEastAsia"/>
          <w:b/>
          <w:color w:val="000000" w:themeColor="text1"/>
          <w:kern w:val="0"/>
          <w:sz w:val="22"/>
          <w:highlight w:val="none"/>
          <w14:textFill>
            <w14:solidFill>
              <w14:schemeClr w14:val="tx1"/>
            </w14:solidFill>
          </w14:textFill>
        </w:rPr>
      </w:pPr>
    </w:p>
    <w:p>
      <w:pPr>
        <w:widowControl/>
        <w:rPr>
          <w:rFonts w:hint="eastAsia" w:asciiTheme="minorEastAsia" w:hAnsiTheme="minorEastAsia" w:eastAsiaTheme="minorEastAsia" w:cstheme="minorEastAsia"/>
          <w:b/>
          <w:color w:val="000000" w:themeColor="text1"/>
          <w:kern w:val="0"/>
          <w:sz w:val="22"/>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2"/>
          <w:highlight w:val="none"/>
          <w14:textFill>
            <w14:solidFill>
              <w14:schemeClr w14:val="tx1"/>
            </w14:solidFill>
          </w14:textFill>
        </w:rPr>
        <w:br w:type="page"/>
      </w:r>
    </w:p>
    <w:p>
      <w:pPr>
        <w:widowControl/>
        <w:rPr>
          <w:rFonts w:hint="eastAsia" w:asciiTheme="minorEastAsia" w:hAnsiTheme="minorEastAsia" w:eastAsiaTheme="minorEastAsia" w:cstheme="minorEastAsia"/>
          <w:b/>
          <w:color w:val="000000" w:themeColor="text1"/>
          <w:kern w:val="0"/>
          <w:sz w:val="22"/>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t>附表四</w:t>
      </w:r>
      <w:r>
        <w:rPr>
          <w:rFonts w:hint="eastAsia" w:asciiTheme="minorEastAsia" w:hAnsiTheme="minorEastAsia" w:eastAsiaTheme="minorEastAsia" w:cstheme="minorEastAsia"/>
          <w:b/>
          <w:color w:val="000000" w:themeColor="text1"/>
          <w:kern w:val="0"/>
          <w:sz w:val="22"/>
          <w:highlight w:val="none"/>
          <w14:textFill>
            <w14:solidFill>
              <w14:schemeClr w14:val="tx1"/>
            </w14:solidFill>
          </w14:textFill>
        </w:rPr>
        <w:t xml:space="preserve"> </w:t>
      </w:r>
    </w:p>
    <w:p>
      <w:pPr>
        <w:ind w:firstLine="2640" w:firstLineChars="1200"/>
        <w:jc w:val="left"/>
        <w:rPr>
          <w:rFonts w:hint="eastAsia" w:asciiTheme="minorEastAsia" w:hAnsiTheme="minorEastAsia" w:eastAsiaTheme="minorEastAsia" w:cstheme="minorEastAsia"/>
          <w:b w:val="0"/>
          <w:bCs/>
          <w:color w:val="000000" w:themeColor="text1"/>
          <w:kern w:val="0"/>
          <w:sz w:val="22"/>
          <w:highlight w:val="none"/>
          <w14:textFill>
            <w14:solidFill>
              <w14:schemeClr w14:val="tx1"/>
            </w14:solidFill>
          </w14:textFill>
        </w:rPr>
      </w:pPr>
    </w:p>
    <w:p>
      <w:pPr>
        <w:pStyle w:val="25"/>
        <w:spacing w:line="360" w:lineRule="auto"/>
        <w:jc w:val="both"/>
        <w:rPr>
          <w:rFonts w:hint="eastAsia" w:asciiTheme="minorEastAsia" w:hAnsiTheme="minorEastAsia" w:eastAsiaTheme="minorEastAsia" w:cstheme="minorEastAsia"/>
          <w:b w:val="0"/>
          <w:bCs/>
          <w:color w:val="000000" w:themeColor="text1"/>
          <w:sz w:val="21"/>
          <w:szCs w:val="21"/>
          <w:highlight w:val="none"/>
          <w14:textFill>
            <w14:solidFill>
              <w14:schemeClr w14:val="tx1"/>
            </w14:solidFill>
          </w14:textFill>
        </w:rPr>
      </w:pP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附表4.1</w:t>
      </w:r>
    </w:p>
    <w:p>
      <w:pPr>
        <w:jc w:val="cente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建筑、人防工程复杂程度表</w:t>
      </w:r>
    </w:p>
    <w:tbl>
      <w:tblPr>
        <w:tblStyle w:val="12"/>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61"/>
        <w:gridCol w:w="74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61"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等级</w:t>
            </w:r>
          </w:p>
        </w:tc>
        <w:tc>
          <w:tcPr>
            <w:tcW w:w="7461"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工程特征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61"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I 级</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（0.85）</w:t>
            </w:r>
          </w:p>
        </w:tc>
        <w:tc>
          <w:tcPr>
            <w:tcW w:w="7461"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1.高度&lt;24m 的公共建筑和住宅工程；</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2.跨度&lt;24m 厂房和仓储建筑工程；</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3.室外工程及简单的配套用房；</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4.高度&lt;70m 的高耸构筑物。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61"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II 级</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（1.0）</w:t>
            </w:r>
          </w:p>
        </w:tc>
        <w:tc>
          <w:tcPr>
            <w:tcW w:w="7461"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1.24m≤高度＜50m 的公共建筑工程；</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2.24m≤跨度＜36m 厂房和仓储建筑工程;</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3.高度≥24m 的住宅工程；</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4.仿古建筑，一般标准的古建筑、保护性建筑以及地下建筑工程；</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5.装饰、装修工程；</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6.防护级别为四级及以下的人防工程；</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7.70m≤高度&lt;120m 的高耸构筑物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61"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III 级</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（1.15）</w:t>
            </w:r>
          </w:p>
        </w:tc>
        <w:tc>
          <w:tcPr>
            <w:tcW w:w="7461" w:type="dxa"/>
          </w:tcPr>
          <w:p>
            <w:pPr>
              <w:tabs>
                <w:tab w:val="left" w:pos="1740"/>
              </w:tabs>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1.高度≥50m 的公共建筑工程，或跨度≥36m 的厂房和仓储建筑工程；</w:t>
            </w:r>
          </w:p>
          <w:p>
            <w:pPr>
              <w:tabs>
                <w:tab w:val="left" w:pos="1740"/>
              </w:tabs>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2.高标准的古建筑、保护性建筑；</w:t>
            </w:r>
          </w:p>
          <w:p>
            <w:pPr>
              <w:tabs>
                <w:tab w:val="left" w:pos="1740"/>
              </w:tabs>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3.防护级别为四级以上的人防工程；</w:t>
            </w:r>
          </w:p>
          <w:p>
            <w:pPr>
              <w:tabs>
                <w:tab w:val="left" w:pos="1740"/>
              </w:tabs>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4.高度≥120m 的高耸构筑物</w:t>
            </w:r>
          </w:p>
        </w:tc>
      </w:tr>
    </w:tbl>
    <w:p>
      <w:pPr>
        <w:jc w:val="left"/>
        <w:rPr>
          <w:rFonts w:hint="eastAsia" w:asciiTheme="minorEastAsia" w:hAnsiTheme="minorEastAsia" w:eastAsiaTheme="minorEastAsia" w:cstheme="minorEastAsia"/>
          <w:b w:val="0"/>
          <w:bCs/>
          <w:color w:val="000000" w:themeColor="text1"/>
          <w:sz w:val="21"/>
          <w:szCs w:val="21"/>
          <w:highlight w:val="none"/>
          <w14:textFill>
            <w14:solidFill>
              <w14:schemeClr w14:val="tx1"/>
            </w14:solidFill>
          </w14:textFill>
        </w:rPr>
      </w:pP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附表4.2</w:t>
      </w:r>
    </w:p>
    <w:p>
      <w:pPr>
        <w:jc w:val="cente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市政公用、园林绿化工程复杂程度表</w:t>
      </w:r>
    </w:p>
    <w:tbl>
      <w:tblPr>
        <w:tblStyle w:val="12"/>
        <w:tblW w:w="856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61"/>
        <w:gridCol w:w="75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61"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等级</w:t>
            </w:r>
          </w:p>
        </w:tc>
        <w:tc>
          <w:tcPr>
            <w:tcW w:w="7500"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工程特征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61"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I 级</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（0.85）</w:t>
            </w:r>
          </w:p>
        </w:tc>
        <w:tc>
          <w:tcPr>
            <w:tcW w:w="7500"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1. DN&lt;1.0m 的给排水地下管线工程；</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 小区内燃气管道工程；</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3. 小区供热管网工程，&lt;2MW 的小型换热站工程；</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4. 小型垃圾中转站，简易堆肥工程。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61"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II 级</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（1.0）</w:t>
            </w:r>
          </w:p>
        </w:tc>
        <w:tc>
          <w:tcPr>
            <w:tcW w:w="7500"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1. DN≥1.0m 的给排水地下管线工程；&lt;3m³/s 的给水、污水泵站；&lt;10 万吨/日给水厂</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工程，&lt;5 万吨/日污水处理厂工程；</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 城市中、低压燃气管网（站），&lt;1000 m³液化气贮灌场（站）；</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3. 锅炉房，城市供热管理网工程，≥2MW 换热站工程；</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4. ≥100t/日的垃圾中转站，垃圾填埋场；</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5. 园林绿化工程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61"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III 级</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（1.15）</w:t>
            </w:r>
          </w:p>
        </w:tc>
        <w:tc>
          <w:tcPr>
            <w:tcW w:w="7500"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1. ≥3m³/s 的给水、污水泵站；≥10 万吨/日给水厂工程，≥5 万吨/日污水处理厂工</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程；</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2. 城市高压燃气管网（站），≥1000 m³液化气贮灌场（站）；</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3. 垃圾焚烧工程；</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p>
        </w:tc>
      </w:tr>
    </w:tbl>
    <w:p>
      <w:pPr>
        <w:jc w:val="left"/>
        <w:rPr>
          <w:rFonts w:hint="eastAsia" w:asciiTheme="minorEastAsia" w:hAnsiTheme="minorEastAsia" w:eastAsiaTheme="minorEastAsia" w:cstheme="minorEastAsia"/>
          <w:b w:val="0"/>
          <w:bCs/>
          <w:color w:val="000000" w:themeColor="text1"/>
          <w:sz w:val="32"/>
          <w:szCs w:val="32"/>
          <w:highlight w:val="none"/>
          <w14:textFill>
            <w14:solidFill>
              <w14:schemeClr w14:val="tx1"/>
            </w14:solidFill>
          </w14:textFill>
        </w:rPr>
      </w:pPr>
    </w:p>
    <w:p>
      <w:pPr>
        <w:jc w:val="left"/>
        <w:rPr>
          <w:rFonts w:hint="eastAsia" w:asciiTheme="minorEastAsia" w:hAnsiTheme="minorEastAsia" w:eastAsiaTheme="minorEastAsia" w:cstheme="minorEastAsia"/>
          <w:b w:val="0"/>
          <w:bCs/>
          <w:color w:val="000000" w:themeColor="text1"/>
          <w:sz w:val="32"/>
          <w:szCs w:val="32"/>
          <w:highlight w:val="none"/>
          <w14:textFill>
            <w14:solidFill>
              <w14:schemeClr w14:val="tx1"/>
            </w14:solidFill>
          </w14:textFill>
        </w:rPr>
      </w:pP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附表4.3</w:t>
      </w:r>
    </w:p>
    <w:p>
      <w:pPr>
        <w:jc w:val="cente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城市道路、轨道交通复杂程度表</w:t>
      </w:r>
    </w:p>
    <w:tbl>
      <w:tblPr>
        <w:tblStyle w:val="12"/>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61"/>
        <w:gridCol w:w="74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61"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等级</w:t>
            </w:r>
          </w:p>
        </w:tc>
        <w:tc>
          <w:tcPr>
            <w:tcW w:w="7461"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61"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I 级</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（0.85）</w:t>
            </w:r>
          </w:p>
        </w:tc>
        <w:tc>
          <w:tcPr>
            <w:tcW w:w="7461" w:type="dxa"/>
          </w:tcPr>
          <w:p>
            <w:pPr>
              <w:jc w:val="left"/>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1.隔音屏。</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2.路面改造工程。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61"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II 级</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（1.0）</w:t>
            </w:r>
          </w:p>
        </w:tc>
        <w:tc>
          <w:tcPr>
            <w:tcW w:w="7461" w:type="dxa"/>
          </w:tcPr>
          <w:p>
            <w:pPr>
              <w:tabs>
                <w:tab w:val="left" w:pos="1905"/>
              </w:tabs>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.城市道路、广场、停车场工程。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61"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III 级</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（1.15）</w:t>
            </w:r>
          </w:p>
        </w:tc>
        <w:tc>
          <w:tcPr>
            <w:tcW w:w="7461" w:type="dxa"/>
          </w:tcPr>
          <w:p>
            <w:pPr>
              <w:tabs>
                <w:tab w:val="left" w:pos="2955"/>
              </w:tabs>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.城市地铁、轻轨；</w:t>
            </w:r>
          </w:p>
          <w:p>
            <w:pPr>
              <w:tabs>
                <w:tab w:val="left" w:pos="2955"/>
              </w:tabs>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.客(货)运索道工程。</w:t>
            </w:r>
          </w:p>
        </w:tc>
      </w:tr>
    </w:tbl>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附表4.4</w:t>
      </w:r>
    </w:p>
    <w:p>
      <w:pPr>
        <w:jc w:val="cente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城市桥梁和隧道工程复杂程度表</w:t>
      </w:r>
    </w:p>
    <w:tbl>
      <w:tblPr>
        <w:tblStyle w:val="12"/>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61"/>
        <w:gridCol w:w="74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61"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等级</w:t>
            </w:r>
          </w:p>
        </w:tc>
        <w:tc>
          <w:tcPr>
            <w:tcW w:w="7461"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工程特征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61"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I 级</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（0.85）</w:t>
            </w:r>
          </w:p>
        </w:tc>
        <w:tc>
          <w:tcPr>
            <w:tcW w:w="7461" w:type="dxa"/>
          </w:tcPr>
          <w:p>
            <w:pPr>
              <w:jc w:val="left"/>
              <w:rPr>
                <w:rFonts w:hint="eastAsia" w:asciiTheme="minorEastAsia" w:hAnsiTheme="minorEastAsia" w:eastAsiaTheme="minorEastAsia" w:cstheme="minorEastAsia"/>
                <w:b w:val="0"/>
                <w:bCs/>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eastAsia="zh-CN"/>
                <w14:textFill>
                  <w14:solidFill>
                    <w14:schemeClr w14:val="tx1"/>
                  </w14:solidFill>
                </w14:textFill>
              </w:rPr>
              <w:t>1</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.长度&lt;1000m 的隧道工程</w:t>
            </w:r>
            <w:r>
              <w:rPr>
                <w:rFonts w:hint="eastAsia" w:asciiTheme="minorEastAsia" w:hAnsiTheme="minorEastAsia" w:eastAsiaTheme="minorEastAsia" w:cstheme="minorEastAsia"/>
                <w:b w:val="0"/>
                <w:bCs/>
                <w:color w:val="000000" w:themeColor="text1"/>
                <w:sz w:val="24"/>
                <w:szCs w:val="24"/>
                <w:highlight w:val="none"/>
                <w:lang w:eastAsia="zh-CN"/>
                <w14:textFill>
                  <w14:solidFill>
                    <w14:schemeClr w14:val="tx1"/>
                  </w14:solidFill>
                </w14:textFill>
              </w:rPr>
              <w:t>；</w:t>
            </w:r>
          </w:p>
          <w:p>
            <w:pPr>
              <w:jc w:val="left"/>
              <w:rPr>
                <w:rFonts w:hint="eastAsia" w:asciiTheme="minorEastAsia" w:hAnsiTheme="minorEastAsia" w:eastAsiaTheme="minorEastAsia" w:cstheme="minorEastAsia"/>
                <w:b w:val="0"/>
                <w:bCs/>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.人行天桥、涵洞工程</w:t>
            </w:r>
            <w:r>
              <w:rPr>
                <w:rFonts w:hint="eastAsia" w:asciiTheme="minorEastAsia" w:hAnsiTheme="minorEastAsia" w:eastAsiaTheme="minorEastAsia" w:cstheme="minorEastAsia"/>
                <w:b w:val="0"/>
                <w:bCs/>
                <w:color w:val="000000" w:themeColor="text1"/>
                <w:sz w:val="24"/>
                <w:szCs w:val="24"/>
                <w:highlight w:val="none"/>
                <w:lang w:eastAsia="zh-CN"/>
                <w14:textFill>
                  <w14:solidFill>
                    <w14:schemeClr w14:val="tx1"/>
                  </w14:solidFill>
                </w14:textFill>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61"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II 级</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（1.0）</w:t>
            </w:r>
          </w:p>
        </w:tc>
        <w:tc>
          <w:tcPr>
            <w:tcW w:w="7461"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.1000m≤长度＜3000 m 的隧道工程；</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城市桥梁、分离式立交桥、地下通道工程。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061"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III 级</w:t>
            </w:r>
          </w:p>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（1.15）</w:t>
            </w:r>
          </w:p>
        </w:tc>
        <w:tc>
          <w:tcPr>
            <w:tcW w:w="7461"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1</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.连拱隧道、水底隧道、长度≥3000 m 的隧道工程；</w:t>
            </w:r>
          </w:p>
          <w:p>
            <w:pPr>
              <w:jc w:val="left"/>
              <w:rPr>
                <w:rFonts w:hint="eastAsia" w:asciiTheme="minorEastAsia" w:hAnsiTheme="minorEastAsia" w:eastAsiaTheme="minorEastAsia" w:cstheme="minorEastAsia"/>
                <w:b w:val="0"/>
                <w:bCs/>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.城市互通式立交桥</w:t>
            </w:r>
            <w:r>
              <w:rPr>
                <w:rFonts w:hint="eastAsia" w:asciiTheme="minorEastAsia" w:hAnsiTheme="minorEastAsia" w:eastAsiaTheme="minorEastAsia" w:cstheme="minorEastAsia"/>
                <w:b w:val="0"/>
                <w:bCs/>
                <w:color w:val="000000" w:themeColor="text1"/>
                <w:sz w:val="24"/>
                <w:szCs w:val="24"/>
                <w:highlight w:val="none"/>
                <w:lang w:eastAsia="zh-CN"/>
                <w14:textFill>
                  <w14:solidFill>
                    <w14:schemeClr w14:val="tx1"/>
                  </w14:solidFill>
                </w14:textFill>
              </w:rPr>
              <w:t>。</w:t>
            </w:r>
          </w:p>
        </w:tc>
      </w:tr>
    </w:tbl>
    <w:p>
      <w:pPr>
        <w:jc w:val="left"/>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jc w:val="left"/>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附表</w:t>
      </w:r>
      <w:r>
        <w:rPr>
          <w:rFonts w:hint="eastAsia" w:asciiTheme="minorEastAsia" w:hAnsiTheme="minorEastAsia" w:eastAsiaTheme="minorEastAsia" w:cstheme="minorEastAsia"/>
          <w:b/>
          <w:bCs/>
          <w:color w:val="000000" w:themeColor="text1"/>
          <w:sz w:val="24"/>
          <w:szCs w:val="24"/>
          <w:highlight w:val="none"/>
          <w:lang w:val="en-US" w:eastAsia="zh-CN"/>
          <w14:textFill>
            <w14:solidFill>
              <w14:schemeClr w14:val="tx1"/>
            </w14:solidFill>
          </w14:textFill>
        </w:rPr>
        <w:t>五</w:t>
      </w:r>
    </w:p>
    <w:p>
      <w:pPr>
        <w:jc w:val="center"/>
        <w:rPr>
          <w:rFonts w:hint="eastAsia" w:asciiTheme="minorEastAsia" w:hAnsiTheme="minorEastAsia" w:eastAsiaTheme="minorEastAsia" w:cstheme="minorEastAsia"/>
          <w:b w:val="0"/>
          <w:color w:val="000000" w:themeColor="text1"/>
          <w:sz w:val="21"/>
          <w:szCs w:val="21"/>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施工监理服务费专业调整系数表</w:t>
      </w:r>
    </w:p>
    <w:tbl>
      <w:tblPr>
        <w:tblStyle w:val="12"/>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61"/>
        <w:gridCol w:w="42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1" w:type="dxa"/>
          </w:tcPr>
          <w:p>
            <w:pPr>
              <w:jc w:val="left"/>
              <w:rPr>
                <w:rFonts w:hint="eastAsia" w:asciiTheme="minorEastAsia" w:hAnsiTheme="minorEastAsia" w:eastAsiaTheme="minorEastAsia" w:cstheme="minorEastAsia"/>
                <w:b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4"/>
                <w:highlight w:val="none"/>
                <w14:textFill>
                  <w14:solidFill>
                    <w14:schemeClr w14:val="tx1"/>
                  </w14:solidFill>
                </w14:textFill>
              </w:rPr>
              <w:t>工程类别</w:t>
            </w:r>
          </w:p>
        </w:tc>
        <w:tc>
          <w:tcPr>
            <w:tcW w:w="4261" w:type="dxa"/>
          </w:tcPr>
          <w:p>
            <w:pPr>
              <w:jc w:val="left"/>
              <w:rPr>
                <w:rFonts w:hint="eastAsia" w:asciiTheme="minorEastAsia" w:hAnsiTheme="minorEastAsia" w:eastAsiaTheme="minorEastAsia" w:cstheme="minorEastAsia"/>
                <w:b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4"/>
                <w:highlight w:val="none"/>
                <w14:textFill>
                  <w14:solidFill>
                    <w14:schemeClr w14:val="tx1"/>
                  </w14:solidFill>
                </w14:textFill>
              </w:rPr>
              <w:t>专业调整系数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1" w:type="dxa"/>
          </w:tcPr>
          <w:p>
            <w:pPr>
              <w:tabs>
                <w:tab w:val="left" w:pos="1095"/>
              </w:tabs>
              <w:jc w:val="left"/>
              <w:rPr>
                <w:rFonts w:hint="eastAsia" w:asciiTheme="minorEastAsia" w:hAnsiTheme="minorEastAsia" w:eastAsiaTheme="minorEastAsia" w:cstheme="minorEastAsia"/>
                <w:b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4"/>
                <w:highlight w:val="none"/>
                <w14:textFill>
                  <w14:solidFill>
                    <w14:schemeClr w14:val="tx1"/>
                  </w14:solidFill>
                </w14:textFill>
              </w:rPr>
              <w:t>水电、水库</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工程</w:t>
            </w:r>
          </w:p>
        </w:tc>
        <w:tc>
          <w:tcPr>
            <w:tcW w:w="4261" w:type="dxa"/>
          </w:tcPr>
          <w:p>
            <w:pPr>
              <w:jc w:val="left"/>
              <w:rPr>
                <w:rFonts w:hint="eastAsia" w:asciiTheme="minorEastAsia" w:hAnsiTheme="minorEastAsia" w:eastAsiaTheme="minorEastAsia" w:cstheme="minorEastAsia"/>
                <w:b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4"/>
                <w:highlight w:val="none"/>
                <w14:textFill>
                  <w14:solidFill>
                    <w14:schemeClr w14:val="tx1"/>
                  </w14:solidFill>
                </w14:textFill>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1" w:type="dxa"/>
          </w:tcPr>
          <w:p>
            <w:pPr>
              <w:jc w:val="left"/>
              <w:rPr>
                <w:rFonts w:hint="eastAsia" w:asciiTheme="minorEastAsia" w:hAnsiTheme="minorEastAsia" w:eastAsiaTheme="minorEastAsia" w:cstheme="minorEastAsia"/>
                <w:b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4"/>
                <w:highlight w:val="none"/>
                <w14:textFill>
                  <w14:solidFill>
                    <w14:schemeClr w14:val="tx1"/>
                  </w14:solidFill>
                </w14:textFill>
              </w:rPr>
              <w:t>地铁、桥梁、隧道</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工程</w:t>
            </w:r>
          </w:p>
        </w:tc>
        <w:tc>
          <w:tcPr>
            <w:tcW w:w="4261" w:type="dxa"/>
          </w:tcPr>
          <w:p>
            <w:pPr>
              <w:jc w:val="left"/>
              <w:rPr>
                <w:rFonts w:hint="eastAsia" w:asciiTheme="minorEastAsia" w:hAnsiTheme="minorEastAsia" w:eastAsiaTheme="minorEastAsia" w:cstheme="minorEastAsia"/>
                <w:b w:val="0"/>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4"/>
                <w:highlight w:val="none"/>
                <w14:textFill>
                  <w14:solidFill>
                    <w14:schemeClr w14:val="tx1"/>
                  </w14:solidFill>
                </w14:textFill>
              </w:rPr>
              <w:t>1.</w:t>
            </w:r>
            <w:r>
              <w:rPr>
                <w:rFonts w:hint="eastAsia" w:asciiTheme="minorEastAsia" w:hAnsiTheme="minorEastAsia" w:eastAsiaTheme="minorEastAsia" w:cstheme="minorEastAsia"/>
                <w:b w:val="0"/>
                <w:color w:val="000000" w:themeColor="text1"/>
                <w:sz w:val="24"/>
                <w:szCs w:val="24"/>
                <w:highlight w:val="none"/>
                <w:lang w:val="en-US" w:eastAsia="zh-CN"/>
                <w14:textFill>
                  <w14:solidFill>
                    <w14:schemeClr w14:val="tx1"/>
                  </w14:solidFill>
                </w14:textFill>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1" w:type="dxa"/>
          </w:tcPr>
          <w:p>
            <w:pPr>
              <w:jc w:val="left"/>
              <w:rPr>
                <w:rFonts w:hint="eastAsia" w:asciiTheme="minorEastAsia" w:hAnsiTheme="minorEastAsia" w:eastAsiaTheme="minorEastAsia" w:cstheme="minorEastAsia"/>
                <w:b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4"/>
                <w:highlight w:val="none"/>
                <w14:textFill>
                  <w14:solidFill>
                    <w14:schemeClr w14:val="tx1"/>
                  </w14:solidFill>
                </w14:textFill>
              </w:rPr>
              <w:t>轻轨（含磁浮）</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工程</w:t>
            </w:r>
          </w:p>
        </w:tc>
        <w:tc>
          <w:tcPr>
            <w:tcW w:w="4261" w:type="dxa"/>
          </w:tcPr>
          <w:p>
            <w:pPr>
              <w:jc w:val="left"/>
              <w:rPr>
                <w:rFonts w:hint="eastAsia" w:asciiTheme="minorEastAsia" w:hAnsiTheme="minorEastAsia" w:eastAsiaTheme="minorEastAsia" w:cstheme="minorEastAsia"/>
                <w:b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4"/>
                <w:highlight w:val="none"/>
                <w14:textFill>
                  <w14:solidFill>
                    <w14:schemeClr w14:val="tx1"/>
                  </w14:solidFill>
                </w14:textFill>
              </w:rPr>
              <w:t>1.</w:t>
            </w:r>
            <w:r>
              <w:rPr>
                <w:rFonts w:hint="eastAsia" w:asciiTheme="minorEastAsia" w:hAnsiTheme="minorEastAsia" w:eastAsiaTheme="minorEastAsia" w:cstheme="minorEastAsia"/>
                <w:b w:val="0"/>
                <w:color w:val="000000" w:themeColor="text1"/>
                <w:sz w:val="24"/>
                <w:szCs w:val="24"/>
                <w:highlight w:val="none"/>
                <w:lang w:val="en-US" w:eastAsia="zh-CN"/>
                <w14:textFill>
                  <w14:solidFill>
                    <w14:schemeClr w14:val="tx1"/>
                  </w14:solidFill>
                </w14:textFill>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1" w:type="dxa"/>
          </w:tcPr>
          <w:p>
            <w:pPr>
              <w:tabs>
                <w:tab w:val="left" w:pos="765"/>
              </w:tabs>
              <w:jc w:val="left"/>
              <w:rPr>
                <w:rFonts w:hint="eastAsia" w:asciiTheme="minorEastAsia" w:hAnsiTheme="minorEastAsia" w:eastAsiaTheme="minorEastAsia" w:cstheme="minorEastAsia"/>
                <w:b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4"/>
                <w:highlight w:val="none"/>
                <w14:textFill>
                  <w14:solidFill>
                    <w14:schemeClr w14:val="tx1"/>
                  </w14:solidFill>
                </w14:textFill>
              </w:rPr>
              <w:t>建筑、人防、市政公用工程</w:t>
            </w:r>
            <w:r>
              <w:rPr>
                <w:rFonts w:hint="eastAsia" w:asciiTheme="minorEastAsia" w:hAnsiTheme="minorEastAsia" w:eastAsiaTheme="minorEastAsia" w:cstheme="minorEastAsia"/>
                <w:b w:val="0"/>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24"/>
                <w:szCs w:val="24"/>
                <w:highlight w:val="none"/>
                <w:lang w:val="en-US" w:eastAsia="zh-CN"/>
                <w14:textFill>
                  <w14:solidFill>
                    <w14:schemeClr w14:val="tx1"/>
                  </w14:solidFill>
                </w14:textFill>
              </w:rPr>
              <w:t>城市道路</w:t>
            </w:r>
          </w:p>
        </w:tc>
        <w:tc>
          <w:tcPr>
            <w:tcW w:w="4261" w:type="dxa"/>
          </w:tcPr>
          <w:p>
            <w:pPr>
              <w:jc w:val="left"/>
              <w:rPr>
                <w:rFonts w:hint="eastAsia" w:asciiTheme="minorEastAsia" w:hAnsiTheme="minorEastAsia" w:eastAsiaTheme="minorEastAsia" w:cstheme="minorEastAsia"/>
                <w:b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4"/>
                <w:highlight w:val="none"/>
                <w:lang w:val="en-US" w:eastAsia="zh-CN"/>
                <w14:textFill>
                  <w14:solidFill>
                    <w14:schemeClr w14:val="tx1"/>
                  </w14:solidFill>
                </w14:textFill>
              </w:rPr>
              <w:t>0.9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1" w:type="dxa"/>
            <w:vAlign w:val="top"/>
          </w:tcPr>
          <w:p>
            <w:pPr>
              <w:jc w:val="left"/>
              <w:rPr>
                <w:rFonts w:hint="eastAsia" w:asciiTheme="minorEastAsia" w:hAnsiTheme="minorEastAsia" w:eastAsiaTheme="minorEastAsia" w:cstheme="minorEastAsia"/>
                <w:b w:val="0"/>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4"/>
                <w:highlight w:val="none"/>
                <w14:textFill>
                  <w14:solidFill>
                    <w14:schemeClr w14:val="tx1"/>
                  </w14:solidFill>
                </w14:textFill>
              </w:rPr>
              <w:t>园林绿化工程</w:t>
            </w:r>
            <w:r>
              <w:rPr>
                <w:rFonts w:hint="eastAsia" w:asciiTheme="minorEastAsia" w:hAnsiTheme="minorEastAsia" w:eastAsiaTheme="minorEastAsia" w:cstheme="minorEastAsia"/>
                <w:b w:val="0"/>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b w:val="0"/>
                <w:color w:val="000000" w:themeColor="text1"/>
                <w:sz w:val="24"/>
                <w:szCs w:val="24"/>
                <w:highlight w:val="none"/>
                <w:lang w:val="en-US" w:eastAsia="zh-CN"/>
                <w14:textFill>
                  <w14:solidFill>
                    <w14:schemeClr w14:val="tx1"/>
                  </w14:solidFill>
                </w14:textFill>
              </w:rPr>
              <w:t>单独施工的隔音屏项目</w:t>
            </w:r>
          </w:p>
        </w:tc>
        <w:tc>
          <w:tcPr>
            <w:tcW w:w="4261" w:type="dxa"/>
            <w:vAlign w:val="top"/>
          </w:tcPr>
          <w:p>
            <w:pPr>
              <w:jc w:val="left"/>
              <w:rPr>
                <w:rFonts w:hint="eastAsia" w:asciiTheme="minorEastAsia" w:hAnsiTheme="minorEastAsia" w:eastAsiaTheme="minorEastAsia" w:cstheme="minorEastAsia"/>
                <w:b w:val="0"/>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 w:val="0"/>
                <w:color w:val="000000" w:themeColor="text1"/>
                <w:sz w:val="24"/>
                <w:szCs w:val="24"/>
                <w:highlight w:val="none"/>
                <w14:textFill>
                  <w14:solidFill>
                    <w14:schemeClr w14:val="tx1"/>
                  </w14:solidFill>
                </w14:textFill>
              </w:rPr>
              <w:t>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261" w:type="dxa"/>
          </w:tcPr>
          <w:p>
            <w:pPr>
              <w:tabs>
                <w:tab w:val="left" w:pos="765"/>
              </w:tabs>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lang w:eastAsia="zh-CN"/>
                <w14:textFill>
                  <w14:solidFill>
                    <w14:schemeClr w14:val="tx1"/>
                  </w14:solidFill>
                </w14:textFill>
              </w:rPr>
              <w:t>其他</w:t>
            </w: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工程</w:t>
            </w:r>
          </w:p>
        </w:tc>
        <w:tc>
          <w:tcPr>
            <w:tcW w:w="4261" w:type="dxa"/>
          </w:tcPr>
          <w:p>
            <w:pPr>
              <w:jc w:val="left"/>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color w:val="000000" w:themeColor="text1"/>
                <w:sz w:val="24"/>
                <w:szCs w:val="24"/>
                <w:highlight w:val="none"/>
                <w14:textFill>
                  <w14:solidFill>
                    <w14:schemeClr w14:val="tx1"/>
                  </w14:solidFill>
                </w14:textFill>
              </w:rPr>
              <w:t>1.0</w:t>
            </w:r>
          </w:p>
        </w:tc>
      </w:tr>
    </w:tbl>
    <w:p>
      <w:pPr>
        <w:jc w:val="left"/>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jc w:val="left"/>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jc w:val="left"/>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jc w:val="left"/>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jc w:val="left"/>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pPr>
    </w:p>
    <w:p>
      <w:pPr>
        <w:rPr>
          <w:rFonts w:hint="eastAsia" w:asciiTheme="minorEastAsia" w:hAnsiTheme="minorEastAsia" w:eastAsiaTheme="minorEastAsia" w:cstheme="minorEastAsia"/>
          <w:b w:val="0"/>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案例</w:t>
      </w:r>
      <w:r>
        <w:rPr>
          <w:rFonts w:hint="eastAsia" w:asciiTheme="minorEastAsia" w:hAnsiTheme="minorEastAsia" w:eastAsiaTheme="minorEastAsia" w:cstheme="minorEastAsia"/>
          <w:b/>
          <w:color w:val="000000" w:themeColor="text1"/>
          <w:sz w:val="28"/>
          <w:szCs w:val="28"/>
          <w:highlight w:val="none"/>
          <w:lang w:val="en-US" w:eastAsia="zh-CN"/>
          <w14:textFill>
            <w14:solidFill>
              <w14:schemeClr w14:val="tx1"/>
            </w14:solidFill>
          </w14:textFill>
        </w:rPr>
        <w:t>一</w:t>
      </w:r>
      <w:r>
        <w:rPr>
          <w:rFonts w:hint="eastAsia" w:asciiTheme="minorEastAsia" w:hAnsiTheme="minorEastAsia" w:eastAsiaTheme="minorEastAsia" w:cstheme="minorEastAsia"/>
          <w:b/>
          <w:color w:val="000000" w:themeColor="text1"/>
          <w:sz w:val="32"/>
          <w:szCs w:val="32"/>
          <w:highlight w:val="none"/>
          <w14:textFill>
            <w14:solidFill>
              <w14:schemeClr w14:val="tx1"/>
            </w14:solidFill>
          </w14:textFill>
        </w:rPr>
        <w:t>：</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某</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过江隧道项目</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总长度5868m其中（</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主线总长度约</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30</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56m，匝道总长度约2</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8</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12m</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，建安工程费约85000万元，监理服务</w:t>
      </w:r>
      <w:r>
        <w:rPr>
          <w:rFonts w:hint="eastAsia" w:asciiTheme="minorEastAsia" w:hAnsiTheme="minorEastAsia" w:eastAsiaTheme="minorEastAsia" w:cstheme="minorEastAsia"/>
          <w:b w:val="0"/>
          <w:bCs/>
          <w:color w:val="000000" w:themeColor="text1"/>
          <w:sz w:val="28"/>
          <w:szCs w:val="28"/>
          <w:highlight w:val="none"/>
          <w14:textFill>
            <w14:solidFill>
              <w14:schemeClr w14:val="tx1"/>
            </w14:solidFill>
          </w14:textFill>
        </w:rPr>
        <w:t>费计算如下：</w:t>
      </w:r>
    </w:p>
    <w:p>
      <w:pPr>
        <w:numPr>
          <w:ilvl w:val="0"/>
          <w:numId w:val="31"/>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计算收费基价根据本章节附表三。采用内插法计算：</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904.18</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1017.23-904.18</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)/20000*(85000-80000)=</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932.44</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万元</w:t>
      </w:r>
    </w:p>
    <w:p>
      <w:pPr>
        <w:numPr>
          <w:ilvl w:val="0"/>
          <w:numId w:val="31"/>
        </w:numPr>
        <w:tabs>
          <w:tab w:val="left" w:pos="312"/>
        </w:tabs>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计算工程基本监理收费</w:t>
      </w:r>
    </w:p>
    <w:p>
      <w:pPr>
        <w:numPr>
          <w:ilvl w:val="0"/>
          <w:numId w:val="32"/>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确定专业调整系数，根据本章节附表五，隧道工程取1.1</w:t>
      </w:r>
    </w:p>
    <w:p>
      <w:pPr>
        <w:numPr>
          <w:ilvl w:val="0"/>
          <w:numId w:val="32"/>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确定工程复杂程度调整系数，根据本章节附表四，复杂程度为Ⅲ级，调整系数取1.15</w:t>
      </w:r>
    </w:p>
    <w:p>
      <w:pPr>
        <w:numPr>
          <w:ilvl w:val="-1"/>
          <w:numId w:val="0"/>
        </w:numPr>
        <w:ind w:left="0" w:leftChars="0" w:firstLine="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3.工程监理服务费合计：</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932.44</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*1.1*1.15=</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1179.54</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万元</w:t>
      </w:r>
    </w:p>
    <w:p>
      <w:pPr>
        <w:numPr>
          <w:ilvl w:val="0"/>
          <w:numId w:val="0"/>
        </w:numPr>
        <w:ind w:leftChars="0" w:firstLine="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numPr>
          <w:ilvl w:val="0"/>
          <w:numId w:val="0"/>
        </w:numPr>
        <w:ind w:leftChars="0" w:firstLine="56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rPr>
          <w:rFonts w:hint="eastAsia" w:asciiTheme="minorEastAsia" w:hAnsiTheme="minorEastAsia" w:eastAsiaTheme="minorEastAsia" w:cstheme="minorEastAsia"/>
          <w:b/>
          <w:bCs w:val="0"/>
          <w:color w:val="000000" w:themeColor="text1"/>
          <w:sz w:val="32"/>
          <w:szCs w:val="32"/>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32"/>
          <w:szCs w:val="32"/>
          <w:highlight w:val="none"/>
          <w:lang w:val="en-US" w:eastAsia="zh-CN"/>
          <w14:textFill>
            <w14:solidFill>
              <w14:schemeClr w14:val="tx1"/>
            </w14:solidFill>
          </w14:textFill>
        </w:rPr>
        <w:br w:type="page"/>
      </w:r>
    </w:p>
    <w:p>
      <w:pPr>
        <w:numPr>
          <w:ilvl w:val="0"/>
          <w:numId w:val="0"/>
        </w:numPr>
        <w:ind w:left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8"/>
          <w:szCs w:val="28"/>
          <w:highlight w:val="none"/>
          <w:lang w:val="en-US" w:eastAsia="zh-CN"/>
          <w14:textFill>
            <w14:solidFill>
              <w14:schemeClr w14:val="tx1"/>
            </w14:solidFill>
          </w14:textFill>
        </w:rPr>
        <w:t>案例二：</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某道路工程，建筑安装工程费、设备购置费等为23976.24万元，工程监理服务收费如下：</w:t>
      </w:r>
    </w:p>
    <w:p>
      <w:pPr>
        <w:numPr>
          <w:ilvl w:val="0"/>
          <w:numId w:val="33"/>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计算收费基价根据本章节附表三。采用内插法计算：</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283.25</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+(5</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09.9</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283.25</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)/20000*(23976.24-20000)=</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328.31</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万元</w:t>
      </w:r>
    </w:p>
    <w:p>
      <w:pPr>
        <w:numPr>
          <w:ilvl w:val="0"/>
          <w:numId w:val="33"/>
        </w:numPr>
        <w:tabs>
          <w:tab w:val="left" w:pos="312"/>
        </w:tabs>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计算工程基本监理收费</w:t>
      </w:r>
    </w:p>
    <w:p>
      <w:pPr>
        <w:numPr>
          <w:ilvl w:val="0"/>
          <w:numId w:val="34"/>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确定专业调整系数，根据本章节附表五，道路工程取0.8</w:t>
      </w:r>
    </w:p>
    <w:p>
      <w:pPr>
        <w:numPr>
          <w:ilvl w:val="0"/>
          <w:numId w:val="34"/>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确定工程复杂程度调整系数，根据本章节附表四，复杂程度为</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Ⅱ</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级，调整系数取1.0</w:t>
      </w:r>
    </w:p>
    <w:p>
      <w:pPr>
        <w:numPr>
          <w:ilvl w:val="-1"/>
          <w:numId w:val="0"/>
        </w:numPr>
        <w:ind w:left="0" w:leftChars="0" w:firstLine="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3.工程监理服务费合计：</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328.31</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*1.0*0.8=2</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62.65</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万元</w:t>
      </w:r>
    </w:p>
    <w:p>
      <w:pPr>
        <w:numPr>
          <w:ilvl w:val="-1"/>
          <w:numId w:val="0"/>
        </w:numPr>
        <w:ind w:left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numPr>
          <w:ilvl w:val="-1"/>
          <w:numId w:val="0"/>
        </w:numPr>
        <w:ind w:left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rPr>
          <w:rFonts w:hint="eastAsia" w:asciiTheme="minorEastAsia" w:hAnsiTheme="minorEastAsia" w:eastAsiaTheme="minorEastAsia" w:cstheme="minorEastAsia"/>
          <w:b/>
          <w:bCs w:val="0"/>
          <w:color w:val="000000" w:themeColor="text1"/>
          <w:sz w:val="32"/>
          <w:szCs w:val="32"/>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32"/>
          <w:szCs w:val="32"/>
          <w:highlight w:val="none"/>
          <w:lang w:val="en-US" w:eastAsia="zh-CN"/>
          <w14:textFill>
            <w14:solidFill>
              <w14:schemeClr w14:val="tx1"/>
            </w14:solidFill>
          </w14:textFill>
        </w:rPr>
        <w:br w:type="page"/>
      </w:r>
    </w:p>
    <w:p>
      <w:pPr>
        <w:numPr>
          <w:ilvl w:val="0"/>
          <w:numId w:val="0"/>
        </w:num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val="0"/>
          <w:color w:val="000000" w:themeColor="text1"/>
          <w:sz w:val="28"/>
          <w:szCs w:val="28"/>
          <w:highlight w:val="none"/>
          <w:lang w:val="en-US" w:eastAsia="zh-CN"/>
          <w14:textFill>
            <w14:solidFill>
              <w14:schemeClr w14:val="tx1"/>
            </w14:solidFill>
          </w14:textFill>
        </w:rPr>
        <w:t>案例三</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：某城区新建给水管线及泵站工程，排水管网管径DN1200,总长2km，泵站规模2m³/s，总投资为4000万元，其中建筑安装工程费1800万元，设备购置费及联合试运转1640万元，</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监理服务</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费计算如下：</w:t>
      </w:r>
    </w:p>
    <w:p>
      <w:pPr>
        <w:numPr>
          <w:ilvl w:val="0"/>
          <w:numId w:val="35"/>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计算工程监理服务收费计费额：</w:t>
      </w:r>
    </w:p>
    <w:p>
      <w:pPr>
        <w:numPr>
          <w:ilvl w:val="0"/>
          <w:numId w:val="0"/>
        </w:numPr>
        <w:ind w:leftChars="0" w:firstLine="560" w:firstLineChars="20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本项目设备购置费及联合试运转1640万元占工程概算投资额1640/4000*100%=41%，根据说明第</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4</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.1条，本项目工程监理服务费的计费额为1800+1800/0.6*40%=3000万元</w:t>
      </w:r>
    </w:p>
    <w:p>
      <w:pPr>
        <w:numPr>
          <w:ilvl w:val="0"/>
          <w:numId w:val="35"/>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计算收费基价根据本章节附表三。采用内插法计算：</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56.23</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万元</w:t>
      </w:r>
    </w:p>
    <w:p>
      <w:pPr>
        <w:numPr>
          <w:ilvl w:val="0"/>
          <w:numId w:val="35"/>
        </w:numPr>
        <w:tabs>
          <w:tab w:val="left" w:pos="312"/>
        </w:tabs>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计算工程基本监理收费</w:t>
      </w:r>
    </w:p>
    <w:p>
      <w:pPr>
        <w:numPr>
          <w:ilvl w:val="0"/>
          <w:numId w:val="36"/>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确定专业调整系数，根据本章节附表五，市政公用工程取1.0</w:t>
      </w:r>
    </w:p>
    <w:p>
      <w:pPr>
        <w:numPr>
          <w:ilvl w:val="0"/>
          <w:numId w:val="36"/>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确定工程复杂程度调整系数，根据本章节附表四，复杂程度为</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Ⅱ</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级，调整系数取1.0</w:t>
      </w:r>
    </w:p>
    <w:p>
      <w:pPr>
        <w:numPr>
          <w:ilvl w:val="0"/>
          <w:numId w:val="35"/>
        </w:numPr>
        <w:tabs>
          <w:tab w:val="left" w:pos="312"/>
        </w:tabs>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工程监理服务费合计：</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56.23</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*1.0*1.0=</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56.23</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万元</w:t>
      </w:r>
    </w:p>
    <w:p>
      <w:pPr>
        <w:numPr>
          <w:ilvl w:val="0"/>
          <w:numId w:val="0"/>
        </w:numPr>
        <w:jc w:val="left"/>
        <w:rPr>
          <w:rFonts w:hint="eastAsia" w:asciiTheme="minorEastAsia" w:hAnsiTheme="minorEastAsia" w:eastAsiaTheme="minorEastAsia" w:cstheme="minorEastAsia"/>
          <w:b w:val="0"/>
          <w:bCs/>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36"/>
          <w:szCs w:val="36"/>
          <w:highlight w:val="none"/>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36"/>
          <w:szCs w:val="36"/>
          <w:highlight w:val="none"/>
          <w:lang w:eastAsia="zh-CN"/>
          <w14:textFill>
            <w14:solidFill>
              <w14:schemeClr w14:val="tx1"/>
            </w14:solidFill>
          </w14:textFill>
        </w:rPr>
        <w:br w:type="page"/>
      </w:r>
    </w:p>
    <w:p>
      <w:pPr>
        <w:numPr>
          <w:ilvl w:val="0"/>
          <w:numId w:val="0"/>
        </w:numPr>
        <w:ind w:left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8"/>
          <w:szCs w:val="28"/>
          <w:highlight w:val="none"/>
          <w:lang w:val="en-US" w:eastAsia="zh-CN"/>
          <w14:textFill>
            <w14:solidFill>
              <w14:schemeClr w14:val="tx1"/>
            </w14:solidFill>
          </w14:textFill>
        </w:rPr>
        <w:t>案例四：</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某轨道交通项目土建工程，建筑安装工程费、设备购置费等为444798.66万元，工程监理服务收费如下：</w:t>
      </w:r>
    </w:p>
    <w:p>
      <w:pPr>
        <w:numPr>
          <w:ilvl w:val="0"/>
          <w:numId w:val="37"/>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计算收费基价根据本章节附表三。采用内插法计算：3</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295.76</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+(4</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306.43</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-3</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295.76</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)/200000*(444798.66-400000)=3</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522</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14</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万元</w:t>
      </w:r>
    </w:p>
    <w:p>
      <w:pPr>
        <w:numPr>
          <w:ilvl w:val="0"/>
          <w:numId w:val="37"/>
        </w:numPr>
        <w:tabs>
          <w:tab w:val="left" w:pos="312"/>
        </w:tabs>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计算工程基本监理收费</w:t>
      </w:r>
    </w:p>
    <w:p>
      <w:pPr>
        <w:numPr>
          <w:ilvl w:val="0"/>
          <w:numId w:val="38"/>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确定专业调整系数，根据本章节附表五，轨道工程取1.1</w:t>
      </w:r>
    </w:p>
    <w:p>
      <w:pPr>
        <w:numPr>
          <w:ilvl w:val="0"/>
          <w:numId w:val="38"/>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确定工程复杂程度调整系数，根据本章节附表四，复杂程度为Ⅲ级，调整系数取1.15</w:t>
      </w:r>
    </w:p>
    <w:p>
      <w:pPr>
        <w:numPr>
          <w:ilvl w:val="0"/>
          <w:numId w:val="37"/>
        </w:numPr>
        <w:tabs>
          <w:tab w:val="left" w:pos="312"/>
        </w:tabs>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bookmarkStart w:id="5" w:name="_Toc10570"/>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工程监理服务费合计：3</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522</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14</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*1.1*1.15=4</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455.51</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万元</w:t>
      </w:r>
      <w:bookmarkEnd w:id="5"/>
    </w:p>
    <w:p>
      <w:pP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br w:type="page"/>
      </w:r>
    </w:p>
    <w:p>
      <w:pPr>
        <w:numPr>
          <w:ilvl w:val="0"/>
          <w:numId w:val="0"/>
        </w:numPr>
        <w:ind w:left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8"/>
          <w:szCs w:val="28"/>
          <w:highlight w:val="none"/>
          <w:lang w:val="en-US" w:eastAsia="zh-CN"/>
          <w14:textFill>
            <w14:solidFill>
              <w14:schemeClr w14:val="tx1"/>
            </w14:solidFill>
          </w14:textFill>
        </w:rPr>
        <w:t>案例五：</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某市政道路工程，建筑安装工程费、设备购置费等为38000万元，监理服务分为2个标段，其中标段1建安工程费用为16500万元，各标段工程监理服务收费如下：</w:t>
      </w:r>
    </w:p>
    <w:p>
      <w:pPr>
        <w:numPr>
          <w:ilvl w:val="0"/>
          <w:numId w:val="39"/>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计算收费基价根据本章节附表三。采用内插法计算：</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283.25</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+(5</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09.9</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283.25</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)/20000*(38000-20000)=</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487.24</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万元</w:t>
      </w:r>
    </w:p>
    <w:p>
      <w:pPr>
        <w:numPr>
          <w:ilvl w:val="0"/>
          <w:numId w:val="39"/>
        </w:numPr>
        <w:tabs>
          <w:tab w:val="left" w:pos="312"/>
        </w:tabs>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计算工程基本监理收费</w:t>
      </w:r>
    </w:p>
    <w:p>
      <w:pPr>
        <w:numPr>
          <w:ilvl w:val="0"/>
          <w:numId w:val="40"/>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确定专业调整系数，根据本章节附表五，道路工程取0.9</w:t>
      </w:r>
    </w:p>
    <w:p>
      <w:pPr>
        <w:numPr>
          <w:ilvl w:val="0"/>
          <w:numId w:val="40"/>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确定工程复杂程度调整系数，根据本章节附表四，复杂程度为</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Ⅱ</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级，调整系数取1.0</w:t>
      </w:r>
    </w:p>
    <w:p>
      <w:pPr>
        <w:numPr>
          <w:ilvl w:val="0"/>
          <w:numId w:val="39"/>
        </w:numPr>
        <w:tabs>
          <w:tab w:val="left" w:pos="312"/>
        </w:tabs>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bookmarkStart w:id="6" w:name="_Toc10234"/>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工程监理服务费合计：</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487.24</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*0.9*1.0=4</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38.51</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万元</w:t>
      </w:r>
      <w:bookmarkEnd w:id="6"/>
    </w:p>
    <w:p>
      <w:pPr>
        <w:numPr>
          <w:ilvl w:val="0"/>
          <w:numId w:val="0"/>
        </w:numPr>
        <w:ind w:left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bookmarkStart w:id="7" w:name="_Toc8975"/>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标段1工程建立服务费：16500/38000*4</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38.51</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190.41</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万元</w:t>
      </w:r>
      <w:bookmarkEnd w:id="7"/>
    </w:p>
    <w:p>
      <w:pPr>
        <w:numPr>
          <w:ilvl w:val="0"/>
          <w:numId w:val="0"/>
        </w:numPr>
        <w:ind w:left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bookmarkStart w:id="8" w:name="_Toc6288"/>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标段2工程建立服务费：(38000-16500)/38000*4</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38.51</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=2</w:t>
      </w:r>
      <w:r>
        <w:rPr>
          <w:rFonts w:hint="eastAsia" w:asciiTheme="minorEastAsia" w:hAnsiTheme="minorEastAsia" w:cstheme="minorEastAsia"/>
          <w:b w:val="0"/>
          <w:bCs/>
          <w:color w:val="000000" w:themeColor="text1"/>
          <w:sz w:val="28"/>
          <w:szCs w:val="28"/>
          <w:highlight w:val="none"/>
          <w:lang w:val="en-US" w:eastAsia="zh-CN"/>
          <w14:textFill>
            <w14:solidFill>
              <w14:schemeClr w14:val="tx1"/>
            </w14:solidFill>
          </w14:textFill>
        </w:rPr>
        <w:t>48.10</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万元</w:t>
      </w:r>
      <w:bookmarkEnd w:id="8"/>
    </w:p>
    <w:p>
      <w:pPr>
        <w:rPr>
          <w:rFonts w:hint="eastAsia" w:asciiTheme="minorEastAsia" w:hAnsiTheme="minorEastAsia" w:eastAsiaTheme="minorEastAsia" w:cstheme="minorEastAsia"/>
          <w:b/>
          <w:color w:val="000000" w:themeColor="text1"/>
          <w:sz w:val="36"/>
          <w:szCs w:val="36"/>
          <w:highlight w:val="none"/>
          <w:lang w:eastAsia="zh-CN"/>
          <w14:textFill>
            <w14:solidFill>
              <w14:schemeClr w14:val="tx1"/>
            </w14:solidFill>
          </w14:textFill>
        </w:rPr>
      </w:pPr>
      <w:r>
        <w:rPr>
          <w:rFonts w:hint="eastAsia" w:asciiTheme="minorEastAsia" w:hAnsiTheme="minorEastAsia" w:eastAsiaTheme="minorEastAsia" w:cstheme="minorEastAsia"/>
          <w:b/>
          <w:color w:val="000000" w:themeColor="text1"/>
          <w:sz w:val="36"/>
          <w:szCs w:val="36"/>
          <w:highlight w:val="none"/>
          <w:lang w:eastAsia="zh-CN"/>
          <w14:textFill>
            <w14:solidFill>
              <w14:schemeClr w14:val="tx1"/>
            </w14:solidFill>
          </w14:textFill>
        </w:rPr>
        <w:br w:type="page"/>
      </w:r>
    </w:p>
    <w:p>
      <w:pPr>
        <w:pStyle w:val="2"/>
        <w:bidi w:val="0"/>
        <w:jc w:val="center"/>
        <w:rPr>
          <w:rFonts w:hint="eastAsia"/>
          <w:color w:val="000000" w:themeColor="text1"/>
          <w:sz w:val="36"/>
          <w:szCs w:val="36"/>
          <w:highlight w:val="none"/>
          <w:lang w:val="en-US" w:eastAsia="zh-CN"/>
          <w14:textFill>
            <w14:solidFill>
              <w14:schemeClr w14:val="tx1"/>
            </w14:solidFill>
          </w14:textFill>
        </w:rPr>
      </w:pPr>
      <w:bookmarkStart w:id="9" w:name="_Toc21649"/>
      <w:r>
        <w:rPr>
          <w:rFonts w:hint="eastAsia"/>
          <w:color w:val="000000" w:themeColor="text1"/>
          <w:sz w:val="36"/>
          <w:szCs w:val="36"/>
          <w:highlight w:val="none"/>
          <w:lang w:val="en-US" w:eastAsia="zh-CN"/>
          <w14:textFill>
            <w14:solidFill>
              <w14:schemeClr w14:val="tx1"/>
            </w14:solidFill>
          </w14:textFill>
        </w:rPr>
        <w:t>第四章  工程造价咨询服务费</w:t>
      </w:r>
      <w:bookmarkEnd w:id="9"/>
    </w:p>
    <w:p>
      <w:pPr>
        <w:numPr>
          <w:ilvl w:val="0"/>
          <w:numId w:val="0"/>
        </w:num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numPr>
          <w:ilvl w:val="0"/>
          <w:numId w:val="41"/>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工作内容：建设项目投资估算的编制、审核；工程概算、工程预算、工程结算、竣工决算、工程量清单、工程招标控制价、投标报价的编制、审核；工程建设项目全过程工程造价控制等造价咨询服务。</w:t>
      </w:r>
    </w:p>
    <w:p>
      <w:pPr>
        <w:numPr>
          <w:ilvl w:val="0"/>
          <w:numId w:val="41"/>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适用范围：本市政府投资建设项目工程造价咨询服务费招标上限制及结算可参考本标准。</w:t>
      </w:r>
    </w:p>
    <w:p>
      <w:pPr>
        <w:numPr>
          <w:ilvl w:val="0"/>
          <w:numId w:val="41"/>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计费标准</w:t>
      </w:r>
    </w:p>
    <w:p>
      <w:pPr>
        <w:numPr>
          <w:ilvl w:val="0"/>
          <w:numId w:val="42"/>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造价咨询服务费实行差额累进计费</w:t>
      </w:r>
      <w:r>
        <w:rPr>
          <w:rFonts w:hint="eastAsia" w:asciiTheme="minorEastAsia" w:hAnsiTheme="minorEastAsia" w:cstheme="minorEastAsia"/>
          <w:color w:val="000000" w:themeColor="text1"/>
          <w:sz w:val="28"/>
          <w:highlight w:val="none"/>
          <w:lang w:val="en-US"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并根据附表四中的专业系数进行调整</w:t>
      </w: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w:t>
      </w:r>
    </w:p>
    <w:p>
      <w:pPr>
        <w:numPr>
          <w:ilvl w:val="0"/>
          <w:numId w:val="42"/>
        </w:numPr>
        <w:spacing w:line="500" w:lineRule="exact"/>
        <w:ind w:left="0" w:leftChars="0" w:firstLine="640" w:firstLineChars="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投资估算</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编制及审核费计费基数为经政府相关部门批复的</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投资估算</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总金额（不含征地拆迁补偿费用）。</w:t>
      </w:r>
    </w:p>
    <w:p>
      <w:pPr>
        <w:numPr>
          <w:ilvl w:val="0"/>
          <w:numId w:val="42"/>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概算编制及审核费计费基数为经政府相关部门批复的初步设计概算总金额（不含征地拆迁补偿费用）。</w:t>
      </w:r>
    </w:p>
    <w:p>
      <w:pPr>
        <w:widowControl/>
        <w:numPr>
          <w:ilvl w:val="0"/>
          <w:numId w:val="42"/>
        </w:numPr>
        <w:spacing w:line="375" w:lineRule="atLeast"/>
        <w:ind w:left="0" w:leftChars="0" w:firstLine="640" w:firstLineChars="0"/>
        <w:jc w:val="left"/>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工程量清单计价</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的</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编制及审核费</w:t>
      </w:r>
      <w:r>
        <w:rPr>
          <w:rFonts w:hint="eastAsia" w:asciiTheme="minorEastAsia" w:hAnsiTheme="minorEastAsia" w:cstheme="minorEastAsia"/>
          <w:bCs/>
          <w:color w:val="000000" w:themeColor="text1"/>
          <w:sz w:val="28"/>
          <w:szCs w:val="28"/>
          <w:highlight w:val="none"/>
          <w:lang w:eastAsia="zh-CN"/>
          <w14:textFill>
            <w14:solidFill>
              <w14:schemeClr w14:val="tx1"/>
            </w14:solidFill>
          </w14:textFill>
        </w:rPr>
        <w:t>（</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施工图预算编制及审核</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费</w:t>
      </w:r>
      <w:r>
        <w:rPr>
          <w:rFonts w:hint="eastAsia" w:asciiTheme="minorEastAsia" w:hAnsiTheme="minorEastAsia" w:cstheme="minorEastAsia"/>
          <w:bCs/>
          <w:color w:val="000000" w:themeColor="text1"/>
          <w:sz w:val="28"/>
          <w:szCs w:val="28"/>
          <w:highlight w:val="none"/>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计费基数为经政府相关部门审定的单位工程招标控制价</w:t>
      </w:r>
      <w:r>
        <w:rPr>
          <w:rFonts w:hint="eastAsia" w:asciiTheme="minorEastAsia" w:hAnsiTheme="minorEastAsia" w:cstheme="minorEastAsia"/>
          <w:bCs/>
          <w:color w:val="000000" w:themeColor="text1"/>
          <w:sz w:val="28"/>
          <w:szCs w:val="28"/>
          <w:highlight w:val="none"/>
          <w:lang w:eastAsia="zh-CN"/>
          <w14:textFill>
            <w14:solidFill>
              <w14:schemeClr w14:val="tx1"/>
            </w14:solidFill>
          </w14:textFill>
        </w:rPr>
        <w:t>（</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施工图预算</w:t>
      </w:r>
      <w:r>
        <w:rPr>
          <w:rFonts w:hint="eastAsia" w:asciiTheme="minorEastAsia" w:hAnsiTheme="minorEastAsia" w:cstheme="minorEastAsia"/>
          <w:bCs/>
          <w:color w:val="000000" w:themeColor="text1"/>
          <w:sz w:val="28"/>
          <w:szCs w:val="28"/>
          <w:highlight w:val="none"/>
          <w:lang w:eastAsia="zh-CN"/>
          <w14:textFill>
            <w14:solidFill>
              <w14:schemeClr w14:val="tx1"/>
            </w14:solidFill>
          </w14:textFill>
        </w:rPr>
        <w:t>）</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金额</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。单位工程划分的原则：</w:t>
      </w:r>
    </w:p>
    <w:p>
      <w:pPr>
        <w:widowControl/>
        <w:numPr>
          <w:ilvl w:val="1"/>
          <w:numId w:val="42"/>
        </w:numPr>
        <w:spacing w:line="375" w:lineRule="atLeast"/>
        <w:ind w:left="7" w:leftChars="0" w:firstLine="633" w:firstLineChars="0"/>
        <w:jc w:val="left"/>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建筑工程</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每一栋（座）建筑物或构筑物为一个单位工程；</w:t>
      </w:r>
    </w:p>
    <w:p>
      <w:pPr>
        <w:widowControl/>
        <w:numPr>
          <w:ilvl w:val="1"/>
          <w:numId w:val="42"/>
        </w:numPr>
        <w:spacing w:line="375" w:lineRule="atLeast"/>
        <w:ind w:left="7" w:leftChars="0" w:firstLine="633" w:firstLineChars="0"/>
        <w:jc w:val="left"/>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道路、桥梁、</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轨道、</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隧道等工程项目按招标标段划分，每一个标段为一个单位工程；</w:t>
      </w:r>
    </w:p>
    <w:p>
      <w:pPr>
        <w:widowControl/>
        <w:numPr>
          <w:ilvl w:val="1"/>
          <w:numId w:val="42"/>
        </w:numPr>
        <w:spacing w:line="375" w:lineRule="atLeast"/>
        <w:ind w:left="7" w:leftChars="0" w:firstLine="633" w:firstLineChars="0"/>
        <w:jc w:val="left"/>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一栋（座）建筑物或构筑物含土建、安装、二次装修、园林绿化等工程，如需单独招标的，可按独立的招标内容划分单位工程。</w:t>
      </w:r>
    </w:p>
    <w:p>
      <w:pPr>
        <w:widowControl/>
        <w:numPr>
          <w:ilvl w:val="0"/>
          <w:numId w:val="42"/>
        </w:numPr>
        <w:spacing w:line="375" w:lineRule="atLeast"/>
        <w:ind w:left="0" w:leftChars="0" w:firstLine="640" w:firstLineChars="0"/>
        <w:jc w:val="left"/>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竣工决算的编制及审核费计费基数为经政府相关部门批复的初步设计概算总金额。</w:t>
      </w:r>
    </w:p>
    <w:p>
      <w:pPr>
        <w:numPr>
          <w:ilvl w:val="0"/>
          <w:numId w:val="41"/>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相关说明</w:t>
      </w:r>
    </w:p>
    <w:p>
      <w:pPr>
        <w:numPr>
          <w:ilvl w:val="0"/>
          <w:numId w:val="43"/>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根据附表一中的费率以工程造价为基数进行差额定律累进计算，并根据附表四中的专业系数进行调整。</w:t>
      </w:r>
    </w:p>
    <w:p>
      <w:pPr>
        <w:numPr>
          <w:ilvl w:val="0"/>
          <w:numId w:val="43"/>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有两栋及两栋以上的建筑物（构筑物）采用相同设计图纸时，第二栋及第二栋以上的建筑物（构筑物）造价咨询服务费按10%计。</w:t>
      </w:r>
    </w:p>
    <w:p>
      <w:pPr>
        <w:numPr>
          <w:ilvl w:val="0"/>
          <w:numId w:val="43"/>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除房建工程外，其他工程造价咨询服务费计费基数超2亿的部分，其咨询服务费按60%计取。</w:t>
      </w:r>
    </w:p>
    <w:p>
      <w:pPr>
        <w:numPr>
          <w:ilvl w:val="0"/>
          <w:numId w:val="43"/>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采用EPC方式招标的项目，如果是</w:t>
      </w:r>
      <w:r>
        <w:rPr>
          <w:rFonts w:hint="eastAsia" w:asciiTheme="minorEastAsia" w:hAnsiTheme="minorEastAsia" w:cstheme="minorEastAsia"/>
          <w:color w:val="000000" w:themeColor="text1"/>
          <w:sz w:val="28"/>
          <w:highlight w:val="none"/>
          <w:lang w:val="en-US" w:eastAsia="zh-CN"/>
          <w14:textFill>
            <w14:solidFill>
              <w14:schemeClr w14:val="tx1"/>
            </w14:solidFill>
          </w14:textFill>
        </w:rPr>
        <w:t>初步设计</w:t>
      </w: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阶段</w:t>
      </w:r>
      <w:r>
        <w:rPr>
          <w:rFonts w:hint="eastAsia" w:asciiTheme="minorEastAsia" w:hAnsiTheme="minorEastAsia" w:cstheme="minorEastAsia"/>
          <w:color w:val="000000" w:themeColor="text1"/>
          <w:sz w:val="28"/>
          <w:highlight w:val="none"/>
          <w:lang w:val="en-US" w:eastAsia="zh-CN"/>
          <w14:textFill>
            <w14:solidFill>
              <w14:schemeClr w14:val="tx1"/>
            </w14:solidFill>
          </w14:textFill>
        </w:rPr>
        <w:t>前</w:t>
      </w: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实施的，招标控制价编、审费用按本标准七折计算，如果是初步设计</w:t>
      </w:r>
      <w:r>
        <w:rPr>
          <w:rFonts w:hint="eastAsia" w:asciiTheme="minorEastAsia" w:hAnsiTheme="minorEastAsia" w:cstheme="minorEastAsia"/>
          <w:color w:val="000000" w:themeColor="text1"/>
          <w:sz w:val="28"/>
          <w:highlight w:val="none"/>
          <w:lang w:val="en-US" w:eastAsia="zh-CN"/>
          <w14:textFill>
            <w14:solidFill>
              <w14:schemeClr w14:val="tx1"/>
            </w14:solidFill>
          </w14:textFill>
        </w:rPr>
        <w:t>阶段</w:t>
      </w: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后</w:t>
      </w:r>
      <w:r>
        <w:rPr>
          <w:rFonts w:hint="eastAsia" w:asciiTheme="minorEastAsia" w:hAnsiTheme="minorEastAsia" w:cstheme="minorEastAsia"/>
          <w:color w:val="000000" w:themeColor="text1"/>
          <w:sz w:val="28"/>
          <w:highlight w:val="none"/>
          <w:lang w:val="en-US" w:eastAsia="zh-CN"/>
          <w14:textFill>
            <w14:solidFill>
              <w14:schemeClr w14:val="tx1"/>
            </w14:solidFill>
          </w14:textFill>
        </w:rPr>
        <w:t>、施工图设计阶段前</w:t>
      </w: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实施的，招标控制价编、审费用按本标准八折计算。</w:t>
      </w:r>
    </w:p>
    <w:p>
      <w:pPr>
        <w:numPr>
          <w:ilvl w:val="0"/>
          <w:numId w:val="43"/>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因设计变更而产生的施工图预算编制与审核咨询服务费用参照本标准执行。</w:t>
      </w:r>
    </w:p>
    <w:p>
      <w:pPr>
        <w:numPr>
          <w:ilvl w:val="0"/>
          <w:numId w:val="43"/>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pPr>
      <w:r>
        <w:rPr>
          <w:rFonts w:hint="eastAsia" w:asciiTheme="minorEastAsia" w:hAnsiTheme="minorEastAsia" w:cstheme="minorEastAsia"/>
          <w:color w:val="000000" w:themeColor="text1"/>
          <w:sz w:val="28"/>
          <w:highlight w:val="none"/>
          <w:lang w:val="en-US" w:eastAsia="zh-CN"/>
          <w14:textFill>
            <w14:solidFill>
              <w14:schemeClr w14:val="tx1"/>
            </w14:solidFill>
          </w14:textFill>
        </w:rPr>
        <w:t>仅提供工程量清单编制的按标准的60%计费，只提供清单计价的按标准的40%计费。</w:t>
      </w:r>
    </w:p>
    <w:p>
      <w:pPr>
        <w:numPr>
          <w:ilvl w:val="0"/>
          <w:numId w:val="41"/>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名词解释</w:t>
      </w:r>
    </w:p>
    <w:p>
      <w:pPr>
        <w:numPr>
          <w:ilvl w:val="0"/>
          <w:numId w:val="44"/>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建设工程造价：指建设项目从筹建到竣工验收交付使用期间所需的全部费用。建设工程造价咨询服务是指工程造价咨询单位接受委托，对建设项目的工程造价的确定与控制提供专业服务，出具工程造价成果文件的活动。</w:t>
      </w:r>
    </w:p>
    <w:p>
      <w:pPr>
        <w:ind w:firstLine="361"/>
        <w:rPr>
          <w:rFonts w:hint="default" w:asciiTheme="minorEastAsia" w:hAnsiTheme="minorEastAsia" w:cstheme="minorEastAsia"/>
          <w:bCs/>
          <w:color w:val="000000" w:themeColor="text1"/>
          <w:sz w:val="28"/>
          <w:szCs w:val="28"/>
          <w:highlight w:val="none"/>
          <w:lang w:val="en-US" w:eastAsia="zh-CN"/>
          <w14:textFill>
            <w14:solidFill>
              <w14:schemeClr w14:val="tx1"/>
            </w14:solidFill>
          </w14:textFill>
        </w:rPr>
      </w:pPr>
    </w:p>
    <w:p>
      <w:pPr>
        <w:ind w:firstLine="361"/>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p>
    <w:p>
      <w:pPr>
        <w:ind w:firstLine="361"/>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p>
    <w:p>
      <w:pPr>
        <w:ind w:firstLine="361"/>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sectPr>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p>
    <w:p>
      <w:pP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highlight w:val="none"/>
          <w14:textFill>
            <w14:solidFill>
              <w14:schemeClr w14:val="tx1"/>
            </w14:solidFill>
          </w14:textFill>
        </w:rPr>
        <w:t>附表一</w:t>
      </w:r>
    </w:p>
    <w:p>
      <w:pPr>
        <w:jc w:val="cente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建设工程造价咨询服务</w:t>
      </w:r>
      <w:r>
        <w:rPr>
          <w:rFonts w:hint="eastAsia" w:asciiTheme="minorEastAsia" w:hAnsiTheme="minorEastAsia" w:eastAsiaTheme="minorEastAsia" w:cstheme="minorEastAsia"/>
          <w:b/>
          <w:color w:val="000000" w:themeColor="text1"/>
          <w:sz w:val="24"/>
          <w:szCs w:val="24"/>
          <w:highlight w:val="none"/>
          <w:lang w:eastAsia="zh-CN"/>
          <w14:textFill>
            <w14:solidFill>
              <w14:schemeClr w14:val="tx1"/>
            </w14:solidFill>
          </w14:textFill>
        </w:rPr>
        <w:t>费</w:t>
      </w: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计</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费指导标准</w:t>
      </w:r>
    </w:p>
    <w:tbl>
      <w:tblPr>
        <w:tblStyle w:val="11"/>
        <w:tblW w:w="14012" w:type="dxa"/>
        <w:tblInd w:w="0" w:type="dxa"/>
        <w:shd w:val="clear" w:color="auto" w:fill="auto"/>
        <w:tblLayout w:type="fixed"/>
        <w:tblCellMar>
          <w:top w:w="0" w:type="dxa"/>
          <w:left w:w="0" w:type="dxa"/>
          <w:bottom w:w="0" w:type="dxa"/>
          <w:right w:w="0" w:type="dxa"/>
        </w:tblCellMar>
      </w:tblPr>
      <w:tblGrid>
        <w:gridCol w:w="520"/>
        <w:gridCol w:w="970"/>
        <w:gridCol w:w="704"/>
        <w:gridCol w:w="348"/>
        <w:gridCol w:w="956"/>
        <w:gridCol w:w="1029"/>
        <w:gridCol w:w="1121"/>
        <w:gridCol w:w="1427"/>
        <w:gridCol w:w="1360"/>
        <w:gridCol w:w="1158"/>
        <w:gridCol w:w="331"/>
        <w:gridCol w:w="4088"/>
      </w:tblGrid>
      <w:tr>
        <w:tblPrEx>
          <w:tblLayout w:type="fixed"/>
          <w:tblCellMar>
            <w:top w:w="0" w:type="dxa"/>
            <w:left w:w="0" w:type="dxa"/>
            <w:bottom w:w="0" w:type="dxa"/>
            <w:right w:w="0" w:type="dxa"/>
          </w:tblCellMar>
        </w:tblPrEx>
        <w:trPr>
          <w:trHeight w:val="270" w:hRule="atLeast"/>
        </w:trPr>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序号</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咨询服务项目名称</w:t>
            </w:r>
          </w:p>
        </w:tc>
        <w:tc>
          <w:tcPr>
            <w:tcW w:w="10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计费基数</w:t>
            </w:r>
          </w:p>
        </w:tc>
        <w:tc>
          <w:tcPr>
            <w:tcW w:w="705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计费参考价格（‰）</w:t>
            </w:r>
          </w:p>
        </w:tc>
        <w:tc>
          <w:tcPr>
            <w:tcW w:w="44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咨询服务主要内容</w:t>
            </w:r>
          </w:p>
        </w:tc>
      </w:tr>
      <w:tr>
        <w:tblPrEx>
          <w:shd w:val="clear" w:color="auto" w:fill="auto"/>
          <w:tblLayout w:type="fixed"/>
          <w:tblCellMar>
            <w:top w:w="0" w:type="dxa"/>
            <w:left w:w="0" w:type="dxa"/>
            <w:bottom w:w="0" w:type="dxa"/>
            <w:right w:w="0" w:type="dxa"/>
          </w:tblCellMar>
        </w:tblPrEx>
        <w:trPr>
          <w:trHeight w:val="62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500万元以下</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501-2000万元</w:t>
            </w:r>
          </w:p>
        </w:tc>
        <w:tc>
          <w:tcPr>
            <w:tcW w:w="1121"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2001-5000万元</w:t>
            </w:r>
          </w:p>
        </w:tc>
        <w:tc>
          <w:tcPr>
            <w:tcW w:w="142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5001-20000万元</w:t>
            </w:r>
          </w:p>
        </w:tc>
        <w:tc>
          <w:tcPr>
            <w:tcW w:w="1360"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20001-50000万元</w:t>
            </w:r>
          </w:p>
        </w:tc>
        <w:tc>
          <w:tcPr>
            <w:tcW w:w="115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50001万元以上</w:t>
            </w:r>
          </w:p>
        </w:tc>
        <w:tc>
          <w:tcPr>
            <w:tcW w:w="44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投资估算编制</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编制估算价</w:t>
            </w:r>
          </w:p>
        </w:tc>
        <w:tc>
          <w:tcPr>
            <w:tcW w:w="348"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费率</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0.6</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0.42</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0.36</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0.18</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0.12</w:t>
            </w:r>
          </w:p>
        </w:tc>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0.06</w:t>
            </w:r>
          </w:p>
        </w:tc>
        <w:tc>
          <w:tcPr>
            <w:tcW w:w="331"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基本工作</w:t>
            </w: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（1）确定估算编制依据；</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（2）收集整理编制基础资料；</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（3）列出估算书（表）的项目并进行计算；</w:t>
            </w:r>
          </w:p>
        </w:tc>
      </w:tr>
      <w:tr>
        <w:tblPrEx>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（4）确定工料机价格，估算书（表）项目的计价；</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（5）依据规定取定有关参数、率值；</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（6）汇总投资估算，编写编制说明；</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（7）出具投资估算文件；</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投资估算审核</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审定估算价</w:t>
            </w:r>
          </w:p>
        </w:tc>
        <w:tc>
          <w:tcPr>
            <w:tcW w:w="348"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费率</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0.36</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0.3</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0.24</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0.12</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0.06</w:t>
            </w:r>
          </w:p>
        </w:tc>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0.03</w:t>
            </w:r>
          </w:p>
        </w:tc>
        <w:tc>
          <w:tcPr>
            <w:tcW w:w="331"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基本工作</w:t>
            </w: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（1）审核编制依据合法性、有效性和适用性；</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（2）审核估算书（表）的项目和工程量； </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（3）审核工料机价格以及估算书（表）的计价； </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（4）审核有关参数、率值的取定；                </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（5）审核投资估算计价程序和编制说明；  </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（6）出具审核报告； </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工程概算编制</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概算编制价</w:t>
            </w:r>
          </w:p>
        </w:tc>
        <w:tc>
          <w:tcPr>
            <w:tcW w:w="348"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费率</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2.08</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1.28</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0.72</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0.36</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0.3</w:t>
            </w:r>
          </w:p>
        </w:tc>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0.24</w:t>
            </w:r>
          </w:p>
        </w:tc>
        <w:tc>
          <w:tcPr>
            <w:tcW w:w="331"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基本工作</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（1）熟悉图纸及有关规则量；</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（2）列项、计算工程量；</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（3）套取定额子目、计算直接费并取费汇总；</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（4）按相关文件规定计算其他工程费、预备费、（贷款利息）如计取，汇总后得出工程概算总价；</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（5）编制概算说明；</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（6）出具工程概算报告；</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工程概算审核</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审定概算价</w:t>
            </w:r>
          </w:p>
        </w:tc>
        <w:tc>
          <w:tcPr>
            <w:tcW w:w="348"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费率</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1.28</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0.8</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0.36</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0.2</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0.12</w:t>
            </w:r>
          </w:p>
        </w:tc>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0.08</w:t>
            </w:r>
          </w:p>
        </w:tc>
        <w:tc>
          <w:tcPr>
            <w:tcW w:w="331"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基本工作</w:t>
            </w: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（1）审核编制依据合法性、有效性和适用性；</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（2）审核概算书的项目和工程量；</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（3）审核工料机价格以及概算书的计价；</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（4）审核有关参数、率值的取定，审核补充项目的价格分析；</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（5）审核概算编制程序和编制说明；</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（6）出具审核报告；</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lang w:val="en-US"/>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编制工程量清单及清单计价/施工图预算</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themeColor="text1"/>
                <w:sz w:val="24"/>
                <w:szCs w:val="24"/>
                <w:highlight w:val="none"/>
                <w:u w:val="none"/>
                <w:lang w:val="en-US"/>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招标控制价</w:t>
            </w:r>
            <w:r>
              <w:rPr>
                <w:rFonts w:hint="eastAsia" w:asciiTheme="minorEastAsia" w:hAnsiTheme="minorEastAsia" w:cstheme="minorEastAsia"/>
                <w:i w:val="0"/>
                <w:color w:val="000000" w:themeColor="text1"/>
                <w:kern w:val="0"/>
                <w:sz w:val="24"/>
                <w:szCs w:val="24"/>
                <w:highlight w:val="none"/>
                <w:u w:val="none"/>
                <w:lang w:val="en-US" w:eastAsia="zh-CN" w:bidi="ar"/>
                <w14:textFill>
                  <w14:solidFill>
                    <w14:schemeClr w14:val="tx1"/>
                  </w14:solidFill>
                </w14:textFill>
              </w:rPr>
              <w:t>/施工图预算</w:t>
            </w:r>
          </w:p>
        </w:tc>
        <w:tc>
          <w:tcPr>
            <w:tcW w:w="348"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费率</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4.2</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3.0 </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1.5</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0.8</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0.6</w:t>
            </w:r>
          </w:p>
        </w:tc>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0.45</w:t>
            </w:r>
          </w:p>
        </w:tc>
        <w:tc>
          <w:tcPr>
            <w:tcW w:w="331"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基本工作</w:t>
            </w: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（1）确定工程量清单编制及计价依据；</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（2）了解招标要求和项目周边环境；</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（3）整理工程量清单编制基础资料；主要材料设备询价；确定工料机价格；</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（4）分析工程设计，确定施工方案；</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（5）列项，确定项目编码、计量单位、描述特征；</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（6）计价依据有缺项的，补充缺项的计量规则；</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（7）进行工程计量；清单项目计价；</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（8）依据常规施工方案，列出措施项目；</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（9）编写编制说明，出具工程量清单；出具计价成果文件；</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6</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审核工程量清单及清单计价/施工图预算</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color w:val="000000" w:themeColor="text1"/>
                <w:sz w:val="24"/>
                <w:szCs w:val="24"/>
                <w:highlight w:val="none"/>
                <w:u w:val="none"/>
                <w:lang w:val="en-US"/>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审定招标控制价</w:t>
            </w:r>
            <w:r>
              <w:rPr>
                <w:rFonts w:hint="eastAsia" w:asciiTheme="minorEastAsia" w:hAnsiTheme="minorEastAsia" w:cstheme="minorEastAsia"/>
                <w:i w:val="0"/>
                <w:color w:val="000000" w:themeColor="text1"/>
                <w:kern w:val="0"/>
                <w:sz w:val="24"/>
                <w:szCs w:val="24"/>
                <w:highlight w:val="none"/>
                <w:u w:val="none"/>
                <w:lang w:val="en-US" w:eastAsia="zh-CN" w:bidi="ar"/>
                <w14:textFill>
                  <w14:solidFill>
                    <w14:schemeClr w14:val="tx1"/>
                  </w14:solidFill>
                </w14:textFill>
              </w:rPr>
              <w:t>/施工图预算</w:t>
            </w:r>
          </w:p>
        </w:tc>
        <w:tc>
          <w:tcPr>
            <w:tcW w:w="348"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费率</w:t>
            </w:r>
          </w:p>
        </w:tc>
        <w:tc>
          <w:tcPr>
            <w:tcW w:w="95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3.0 </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1.9 </w:t>
            </w:r>
          </w:p>
        </w:tc>
        <w:tc>
          <w:tcPr>
            <w:tcW w:w="112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1.0 </w:t>
            </w: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0.5 </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0.4 </w:t>
            </w:r>
          </w:p>
        </w:tc>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0.3 </w:t>
            </w:r>
          </w:p>
        </w:tc>
        <w:tc>
          <w:tcPr>
            <w:tcW w:w="331" w:type="dxa"/>
            <w:vMerge w:val="restart"/>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基本工作</w:t>
            </w: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（1）审核编制依据合法性、有效性和适用性；</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（2）审核补充项目计量规则的合理性、 适用性；</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（3）审核工程量清单的完整性，工程量清单项目编码的正确性，项目特征的正确性和充分性；</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（4）审核工程计量的正确性；审核工料机价格的准确性；</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（5）审核施工方案及措施项目的合理性；</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（6）进行综合单价分析，审核工程计价的合理性；分析、审核措施项目及措施项目费的合理性；审核编制说明；</w:t>
            </w:r>
          </w:p>
        </w:tc>
      </w:tr>
      <w:tr>
        <w:tblPrEx>
          <w:shd w:val="clear" w:color="auto" w:fill="auto"/>
          <w:tblLayout w:type="fixed"/>
          <w:tblCellMar>
            <w:top w:w="0" w:type="dxa"/>
            <w:left w:w="0" w:type="dxa"/>
            <w:bottom w:w="0" w:type="dxa"/>
            <w:right w:w="0" w:type="dxa"/>
          </w:tblCellMar>
        </w:tblPrEx>
        <w:trPr>
          <w:trHeight w:val="510"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5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2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 w:type="dxa"/>
            <w:vMerge w:val="continue"/>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88"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（7）出具审核报告；</w:t>
            </w:r>
          </w:p>
        </w:tc>
      </w:tr>
    </w:tbl>
    <w:p>
      <w:pPr>
        <w:jc w:val="cente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ind w:left="897" w:hanging="896" w:hangingChars="400"/>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注</w:t>
      </w: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：1、工程结算审核费按照市财政评审中心现行标准执行；</w:t>
      </w:r>
    </w:p>
    <w:p>
      <w:pPr>
        <w:ind w:firstLine="448" w:firstLineChars="200"/>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2、咨询方除完成基本工作任务要求之外完成了额外工作量的，可与委托方协商增加费用部分。</w:t>
      </w:r>
    </w:p>
    <w:p>
      <w:pPr>
        <w:rPr>
          <w:rFonts w:hint="eastAsia" w:asciiTheme="minorEastAsia" w:hAnsiTheme="minorEastAsia" w:eastAsiaTheme="minorEastAsia" w:cstheme="minorEastAsia"/>
          <w:b/>
          <w:color w:val="000000" w:themeColor="text1"/>
          <w:sz w:val="22"/>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2"/>
          <w:highlight w:val="none"/>
          <w14:textFill>
            <w14:solidFill>
              <w14:schemeClr w14:val="tx1"/>
            </w14:solidFill>
          </w14:textFill>
        </w:rPr>
        <w:br w:type="page"/>
      </w:r>
    </w:p>
    <w:p>
      <w:pPr>
        <w:spacing w:line="360" w:lineRule="exac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附表二</w:t>
      </w:r>
    </w:p>
    <w:p>
      <w:pPr>
        <w:spacing w:line="360" w:lineRule="exact"/>
        <w:jc w:val="cente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竣工决算编制或审核的咨询项目</w:t>
      </w: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计</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费参考价格表</w:t>
      </w:r>
    </w:p>
    <w:tbl>
      <w:tblPr>
        <w:tblStyle w:val="12"/>
        <w:tblpPr w:leftFromText="180" w:rightFromText="180" w:vertAnchor="text" w:horzAnchor="page" w:tblpX="1409" w:tblpY="357"/>
        <w:tblOverlap w:val="never"/>
        <w:tblW w:w="1401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89"/>
        <w:gridCol w:w="1087"/>
        <w:gridCol w:w="382"/>
        <w:gridCol w:w="5305"/>
        <w:gridCol w:w="450"/>
        <w:gridCol w:w="1031"/>
        <w:gridCol w:w="1042"/>
        <w:gridCol w:w="1144"/>
        <w:gridCol w:w="1312"/>
        <w:gridCol w:w="968"/>
        <w:gridCol w:w="8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89"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序号</w:t>
            </w:r>
          </w:p>
        </w:tc>
        <w:tc>
          <w:tcPr>
            <w:tcW w:w="1087"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咨询服务项目名称</w:t>
            </w:r>
          </w:p>
        </w:tc>
        <w:tc>
          <w:tcPr>
            <w:tcW w:w="5687" w:type="dxa"/>
            <w:gridSpan w:val="2"/>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咨询服务主要内容</w:t>
            </w:r>
          </w:p>
        </w:tc>
        <w:tc>
          <w:tcPr>
            <w:tcW w:w="450" w:type="dxa"/>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计</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费基数</w:t>
            </w:r>
          </w:p>
        </w:tc>
        <w:tc>
          <w:tcPr>
            <w:tcW w:w="1031" w:type="dxa"/>
            <w:vAlign w:val="center"/>
          </w:tcPr>
          <w:p>
            <w:pPr>
              <w:spacing w:line="360" w:lineRule="exact"/>
              <w:jc w:val="cente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500万元以下</w:t>
            </w:r>
          </w:p>
        </w:tc>
        <w:tc>
          <w:tcPr>
            <w:tcW w:w="1042" w:type="dxa"/>
            <w:vAlign w:val="center"/>
          </w:tcPr>
          <w:p>
            <w:pPr>
              <w:spacing w:line="360" w:lineRule="exact"/>
              <w:jc w:val="cente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501~2000万元</w:t>
            </w:r>
          </w:p>
        </w:tc>
        <w:tc>
          <w:tcPr>
            <w:tcW w:w="1144" w:type="dxa"/>
            <w:vAlign w:val="center"/>
          </w:tcPr>
          <w:p>
            <w:pPr>
              <w:spacing w:line="360" w:lineRule="exact"/>
              <w:jc w:val="cente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2001~5000万元</w:t>
            </w:r>
          </w:p>
        </w:tc>
        <w:tc>
          <w:tcPr>
            <w:tcW w:w="1312" w:type="dxa"/>
            <w:vAlign w:val="center"/>
          </w:tcPr>
          <w:p>
            <w:pPr>
              <w:spacing w:line="360" w:lineRule="exact"/>
              <w:jc w:val="cente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5001</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20000万</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元</w:t>
            </w:r>
          </w:p>
        </w:tc>
        <w:tc>
          <w:tcPr>
            <w:tcW w:w="968" w:type="dxa"/>
            <w:vAlign w:val="center"/>
          </w:tcPr>
          <w:p>
            <w:pPr>
              <w:spacing w:line="360" w:lineRule="exact"/>
              <w:jc w:val="cente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~5亿元</w:t>
            </w:r>
          </w:p>
        </w:tc>
        <w:tc>
          <w:tcPr>
            <w:tcW w:w="802" w:type="dxa"/>
            <w:vAlign w:val="center"/>
          </w:tcPr>
          <w:p>
            <w:pPr>
              <w:spacing w:line="360" w:lineRule="exact"/>
              <w:jc w:val="center"/>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5亿元以上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89"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5.1</w:t>
            </w:r>
          </w:p>
        </w:tc>
        <w:tc>
          <w:tcPr>
            <w:tcW w:w="1087"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竣工决算编制</w:t>
            </w:r>
          </w:p>
        </w:tc>
        <w:tc>
          <w:tcPr>
            <w:tcW w:w="382"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基本工作</w:t>
            </w:r>
          </w:p>
        </w:tc>
        <w:tc>
          <w:tcPr>
            <w:tcW w:w="5305" w:type="dxa"/>
            <w:vAlign w:val="center"/>
          </w:tcPr>
          <w:p>
            <w:pPr>
              <w:spacing w:line="360" w:lineRule="exact"/>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（1）确定竣工决算编制依据；</w:t>
            </w:r>
          </w:p>
          <w:p>
            <w:pPr>
              <w:spacing w:line="360" w:lineRule="exact"/>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（2）收集整理编制基础资料；</w:t>
            </w:r>
          </w:p>
          <w:p>
            <w:pPr>
              <w:spacing w:line="360" w:lineRule="exact"/>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（3）列出竣工决算书的各项投资明细并进行数据归集和整理；</w:t>
            </w:r>
          </w:p>
          <w:p>
            <w:pPr>
              <w:spacing w:line="360" w:lineRule="exact"/>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（4）汇总竣工决算各项投资明细，编写编制说明；</w:t>
            </w:r>
          </w:p>
          <w:p>
            <w:pPr>
              <w:spacing w:line="360" w:lineRule="exact"/>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（5）出具工程竣工决算书。</w:t>
            </w:r>
          </w:p>
        </w:tc>
        <w:tc>
          <w:tcPr>
            <w:tcW w:w="450"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投资额</w:t>
            </w:r>
          </w:p>
        </w:tc>
        <w:tc>
          <w:tcPr>
            <w:tcW w:w="1031"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2.4</w:t>
            </w:r>
          </w:p>
        </w:tc>
        <w:tc>
          <w:tcPr>
            <w:tcW w:w="1042"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1.5</w:t>
            </w:r>
          </w:p>
        </w:tc>
        <w:tc>
          <w:tcPr>
            <w:tcW w:w="1144"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0.6</w:t>
            </w:r>
          </w:p>
        </w:tc>
        <w:tc>
          <w:tcPr>
            <w:tcW w:w="1312"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0.24</w:t>
            </w:r>
          </w:p>
        </w:tc>
        <w:tc>
          <w:tcPr>
            <w:tcW w:w="968"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0.18</w:t>
            </w:r>
          </w:p>
        </w:tc>
        <w:tc>
          <w:tcPr>
            <w:tcW w:w="802"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0.06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489"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5.2</w:t>
            </w:r>
          </w:p>
        </w:tc>
        <w:tc>
          <w:tcPr>
            <w:tcW w:w="1087"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竣工决算审核</w:t>
            </w:r>
          </w:p>
        </w:tc>
        <w:tc>
          <w:tcPr>
            <w:tcW w:w="382"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基本工作</w:t>
            </w:r>
          </w:p>
        </w:tc>
        <w:tc>
          <w:tcPr>
            <w:tcW w:w="5305" w:type="dxa"/>
            <w:vAlign w:val="center"/>
          </w:tcPr>
          <w:p>
            <w:pPr>
              <w:spacing w:line="360" w:lineRule="exact"/>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（1）审核编制依据合法性、有效性和适用性；</w:t>
            </w:r>
          </w:p>
          <w:p>
            <w:pPr>
              <w:spacing w:line="360" w:lineRule="exact"/>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（2）审核竣工决算书的投资明细；</w:t>
            </w:r>
          </w:p>
          <w:p>
            <w:pPr>
              <w:spacing w:line="360" w:lineRule="exact"/>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（3）审核竣工决算编制程序和编制说明；</w:t>
            </w:r>
          </w:p>
          <w:p>
            <w:pPr>
              <w:spacing w:line="360" w:lineRule="exact"/>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（4）审核项目全过程资料，关注项目立项、项目估算、概算、预算和决算全环节，计算并分析造价控制情况；</w:t>
            </w:r>
          </w:p>
          <w:p>
            <w:pPr>
              <w:spacing w:line="360" w:lineRule="exact"/>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（5）审核项目招投标、财务核算、进度款支付、合同管理实施情况；</w:t>
            </w:r>
          </w:p>
          <w:p>
            <w:pPr>
              <w:spacing w:line="360" w:lineRule="exact"/>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（6）分析项目全生命周期实施情况，提出合理化建议；</w:t>
            </w:r>
          </w:p>
          <w:p>
            <w:pPr>
              <w:spacing w:line="360" w:lineRule="exact"/>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（7）出具审核报告。</w:t>
            </w:r>
          </w:p>
        </w:tc>
        <w:tc>
          <w:tcPr>
            <w:tcW w:w="450"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投资额</w:t>
            </w:r>
          </w:p>
        </w:tc>
        <w:tc>
          <w:tcPr>
            <w:tcW w:w="1031"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1.5</w:t>
            </w:r>
          </w:p>
        </w:tc>
        <w:tc>
          <w:tcPr>
            <w:tcW w:w="1042"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1.2</w:t>
            </w:r>
          </w:p>
        </w:tc>
        <w:tc>
          <w:tcPr>
            <w:tcW w:w="1144"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0.48</w:t>
            </w:r>
          </w:p>
        </w:tc>
        <w:tc>
          <w:tcPr>
            <w:tcW w:w="1312"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0.18</w:t>
            </w:r>
          </w:p>
        </w:tc>
        <w:tc>
          <w:tcPr>
            <w:tcW w:w="968"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0.12</w:t>
            </w:r>
          </w:p>
        </w:tc>
        <w:tc>
          <w:tcPr>
            <w:tcW w:w="802"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0.05</w:t>
            </w:r>
          </w:p>
        </w:tc>
      </w:tr>
    </w:tbl>
    <w:p>
      <w:pPr>
        <w:spacing w:line="360" w:lineRule="exact"/>
        <w:jc w:val="cente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spacing w:line="360" w:lineRule="exac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附表三</w:t>
      </w:r>
    </w:p>
    <w:p>
      <w:pPr>
        <w:spacing w:line="360" w:lineRule="exact"/>
        <w:jc w:val="cente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全过程造价咨询服务</w:t>
      </w:r>
      <w:r>
        <w:rPr>
          <w:rFonts w:hint="eastAsia" w:asciiTheme="minorEastAsia" w:hAnsiTheme="minorEastAsia" w:eastAsiaTheme="minorEastAsia" w:cstheme="minorEastAsia"/>
          <w:b/>
          <w:color w:val="000000" w:themeColor="text1"/>
          <w:sz w:val="24"/>
          <w:szCs w:val="24"/>
          <w:highlight w:val="none"/>
          <w:lang w:eastAsia="zh-CN"/>
          <w14:textFill>
            <w14:solidFill>
              <w14:schemeClr w14:val="tx1"/>
            </w14:solidFill>
          </w14:textFill>
        </w:rPr>
        <w:t>费</w:t>
      </w: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计</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费参考价格表（含驻场人员</w:t>
      </w:r>
      <w:r>
        <w:rPr>
          <w:rFonts w:hint="eastAsia" w:asciiTheme="minorEastAsia" w:hAnsiTheme="minorEastAsia" w:eastAsiaTheme="minorEastAsia" w:cstheme="minorEastAsia"/>
          <w:b/>
          <w:color w:val="000000" w:themeColor="text1"/>
          <w:sz w:val="24"/>
          <w:szCs w:val="24"/>
          <w:highlight w:val="none"/>
          <w:lang w:val="en-US" w:eastAsia="zh-CN"/>
          <w14:textFill>
            <w14:solidFill>
              <w14:schemeClr w14:val="tx1"/>
            </w14:solidFill>
          </w14:textFill>
        </w:rPr>
        <w:t>计</w:t>
      </w: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费价格）</w:t>
      </w:r>
    </w:p>
    <w:p>
      <w:pPr>
        <w:spacing w:line="360" w:lineRule="exact"/>
        <w:jc w:val="right"/>
        <w:rPr>
          <w:rFonts w:hint="default"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2"/>
          <w:highlight w:val="none"/>
          <w14:textFill>
            <w14:solidFill>
              <w14:schemeClr w14:val="tx1"/>
            </w14:solidFill>
          </w14:textFill>
        </w:rPr>
        <w:t>单位：</w:t>
      </w:r>
      <w:r>
        <w:rPr>
          <w:rFonts w:hint="eastAsia" w:asciiTheme="minorEastAsia" w:hAnsiTheme="minorEastAsia" w:eastAsiaTheme="minorEastAsia" w:cstheme="minorEastAsia"/>
          <w:color w:val="000000" w:themeColor="text1"/>
          <w:sz w:val="22"/>
          <w:highlight w:val="none"/>
          <w:lang w:eastAsia="zh-CN"/>
          <w14:textFill>
            <w14:solidFill>
              <w14:schemeClr w14:val="tx1"/>
            </w14:solidFill>
          </w14:textFill>
        </w:rPr>
        <w:t>亿</w:t>
      </w:r>
      <w:r>
        <w:rPr>
          <w:rFonts w:hint="eastAsia" w:asciiTheme="minorEastAsia" w:hAnsiTheme="minorEastAsia" w:cstheme="minorEastAsia"/>
          <w:color w:val="000000" w:themeColor="text1"/>
          <w:sz w:val="22"/>
          <w:highlight w:val="none"/>
          <w:lang w:val="en-US" w:eastAsia="zh-CN"/>
          <w14:textFill>
            <w14:solidFill>
              <w14:schemeClr w14:val="tx1"/>
            </w14:solidFill>
          </w14:textFill>
        </w:rPr>
        <w:t>元</w:t>
      </w:r>
    </w:p>
    <w:tbl>
      <w:tblPr>
        <w:tblStyle w:val="12"/>
        <w:tblW w:w="1421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69"/>
        <w:gridCol w:w="1808"/>
        <w:gridCol w:w="1808"/>
        <w:gridCol w:w="1809"/>
        <w:gridCol w:w="1809"/>
        <w:gridCol w:w="1809"/>
        <w:gridCol w:w="18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369" w:type="dxa"/>
            <w:vMerge w:val="restart"/>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类型</w:t>
            </w:r>
          </w:p>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费率（‰）</w:t>
            </w:r>
          </w:p>
        </w:tc>
        <w:tc>
          <w:tcPr>
            <w:tcW w:w="10849" w:type="dxa"/>
            <w:gridSpan w:val="6"/>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项目建设造价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369" w:type="dxa"/>
            <w:vMerge w:val="continue"/>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808"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0.5~1</w:t>
            </w:r>
          </w:p>
        </w:tc>
        <w:tc>
          <w:tcPr>
            <w:tcW w:w="1808"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1~5</w:t>
            </w:r>
          </w:p>
        </w:tc>
        <w:tc>
          <w:tcPr>
            <w:tcW w:w="1809"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5~10</w:t>
            </w:r>
          </w:p>
        </w:tc>
        <w:tc>
          <w:tcPr>
            <w:tcW w:w="1809"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10~20</w:t>
            </w:r>
          </w:p>
        </w:tc>
        <w:tc>
          <w:tcPr>
            <w:tcW w:w="1809"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20~50</w:t>
            </w:r>
          </w:p>
        </w:tc>
        <w:tc>
          <w:tcPr>
            <w:tcW w:w="1806"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50以上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369"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A型，决策阶段至竣工阶段</w:t>
            </w:r>
          </w:p>
        </w:tc>
        <w:tc>
          <w:tcPr>
            <w:tcW w:w="1808"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2.1</w:t>
            </w:r>
          </w:p>
        </w:tc>
        <w:tc>
          <w:tcPr>
            <w:tcW w:w="1808"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1.9</w:t>
            </w:r>
          </w:p>
        </w:tc>
        <w:tc>
          <w:tcPr>
            <w:tcW w:w="1809"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1.8</w:t>
            </w:r>
          </w:p>
        </w:tc>
        <w:tc>
          <w:tcPr>
            <w:tcW w:w="1809"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1.7</w:t>
            </w:r>
          </w:p>
        </w:tc>
        <w:tc>
          <w:tcPr>
            <w:tcW w:w="1809"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1.6</w:t>
            </w:r>
          </w:p>
        </w:tc>
        <w:tc>
          <w:tcPr>
            <w:tcW w:w="1806"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369"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B型，设计阶段至竣工阶段</w:t>
            </w:r>
          </w:p>
        </w:tc>
        <w:tc>
          <w:tcPr>
            <w:tcW w:w="1808"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2.0</w:t>
            </w:r>
          </w:p>
        </w:tc>
        <w:tc>
          <w:tcPr>
            <w:tcW w:w="1808"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1.8</w:t>
            </w:r>
          </w:p>
        </w:tc>
        <w:tc>
          <w:tcPr>
            <w:tcW w:w="1809"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1.7</w:t>
            </w:r>
          </w:p>
        </w:tc>
        <w:tc>
          <w:tcPr>
            <w:tcW w:w="1809"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1.6</w:t>
            </w:r>
          </w:p>
        </w:tc>
        <w:tc>
          <w:tcPr>
            <w:tcW w:w="1809"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5</w:t>
            </w:r>
          </w:p>
        </w:tc>
        <w:tc>
          <w:tcPr>
            <w:tcW w:w="1806"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369"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C型，交易阶段至竣工阶段</w:t>
            </w:r>
          </w:p>
        </w:tc>
        <w:tc>
          <w:tcPr>
            <w:tcW w:w="1808"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1.9</w:t>
            </w:r>
          </w:p>
        </w:tc>
        <w:tc>
          <w:tcPr>
            <w:tcW w:w="1808"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1.7</w:t>
            </w:r>
          </w:p>
        </w:tc>
        <w:tc>
          <w:tcPr>
            <w:tcW w:w="1809"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1.6</w:t>
            </w:r>
          </w:p>
        </w:tc>
        <w:tc>
          <w:tcPr>
            <w:tcW w:w="1809"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1.5</w:t>
            </w:r>
          </w:p>
        </w:tc>
        <w:tc>
          <w:tcPr>
            <w:tcW w:w="1809"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w:t>
            </w:r>
          </w:p>
        </w:tc>
        <w:tc>
          <w:tcPr>
            <w:tcW w:w="1806"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3369"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D型，施工阶段至竣工阶段</w:t>
            </w:r>
          </w:p>
        </w:tc>
        <w:tc>
          <w:tcPr>
            <w:tcW w:w="1808"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1.8</w:t>
            </w:r>
          </w:p>
        </w:tc>
        <w:tc>
          <w:tcPr>
            <w:tcW w:w="1808"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1.6</w:t>
            </w:r>
          </w:p>
        </w:tc>
        <w:tc>
          <w:tcPr>
            <w:tcW w:w="1809"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1.5</w:t>
            </w:r>
          </w:p>
        </w:tc>
        <w:tc>
          <w:tcPr>
            <w:tcW w:w="1809"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w:t>
            </w:r>
          </w:p>
        </w:tc>
        <w:tc>
          <w:tcPr>
            <w:tcW w:w="1809"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p>
        </w:tc>
        <w:tc>
          <w:tcPr>
            <w:tcW w:w="1806" w:type="dxa"/>
            <w:vAlign w:val="center"/>
          </w:tcPr>
          <w:p>
            <w:pPr>
              <w:spacing w:line="360" w:lineRule="exac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1.2</w:t>
            </w:r>
          </w:p>
        </w:tc>
      </w:tr>
    </w:tbl>
    <w:p>
      <w:pPr>
        <w:widowControl/>
        <w:spacing w:line="360" w:lineRule="auto"/>
        <w:jc w:val="left"/>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14:textFill>
            <w14:solidFill>
              <w14:schemeClr w14:val="tx1"/>
            </w14:solidFill>
          </w14:textFill>
        </w:rPr>
        <w:t>备注：</w:t>
      </w:r>
    </w:p>
    <w:p>
      <w:pPr>
        <w:keepNext w:val="0"/>
        <w:keepLines w:val="0"/>
        <w:pageBreakBefore w:val="0"/>
        <w:widowControl/>
        <w:kinsoku/>
        <w:wordWrap/>
        <w:overflowPunct/>
        <w:topLinePunct w:val="0"/>
        <w:autoSpaceDE/>
        <w:autoSpaceDN/>
        <w:bidi w:val="0"/>
        <w:adjustRightInd/>
        <w:snapToGrid/>
        <w:spacing w:line="400" w:lineRule="exact"/>
        <w:ind w:firstLine="420"/>
        <w:jc w:val="left"/>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1、建设项目全过程造价咨询服务主要工作内容：全过程造价咨询依据建设项目的建设程序可划分为决策阶段、设计阶段、交易阶段、施工阶段、竣工结(决)算。造价咨询服务的主要工作内容是:（1）决策阶段:①建设项目投资估算的编制或审核、调整;②建设项目经济评价。（2）设计阶段:①对设计单位编制的设计概算进行审核和提出调整意见；②提出工程设计方案的优化建议,各方案工程造价的编制与比选。（3）交易阶段:①参与工程招标文件的编制;②施工合同的相关造价条款的拟定; ③各类招标项目投标价合理性的分析。（4）施工阶段:①建设项目工程造价相关合同履行过程的管理; ②编制施工图预算或者对施工单位做出的施工图预算进行审核；③提出工程施工方案的优化建议，各方案工程造价的编制与比选; ④工程计量支付的确定,审核工程款支付申请,提出资金使用计划建议; ⑤施工过程的设计变更，工程签证和工程索赔的处理；⑥协勛建设单位进行投资分析、风险控制,提出融资方案的建议。（5）竣工阶段: ①对各类工程施工单位报送的竣工结算进行初审并提出初审意见（不要求出具正式报告）；②协助建设单位对接相关职能部门，完成项目的结算审核工作。</w:t>
      </w:r>
    </w:p>
    <w:p>
      <w:pPr>
        <w:keepNext w:val="0"/>
        <w:keepLines w:val="0"/>
        <w:pageBreakBefore w:val="0"/>
        <w:widowControl/>
        <w:kinsoku/>
        <w:wordWrap/>
        <w:overflowPunct/>
        <w:topLinePunct w:val="0"/>
        <w:autoSpaceDE/>
        <w:autoSpaceDN/>
        <w:bidi w:val="0"/>
        <w:adjustRightInd/>
        <w:snapToGrid/>
        <w:spacing w:line="400" w:lineRule="exact"/>
        <w:ind w:firstLine="420"/>
        <w:jc w:val="left"/>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2.全过程造价咨询的委托服务范围划分:A型,决策阶段至竣工阶段；B型,设计阶段至竣工阶段；C型,交易阶段至竣工阶段；D型,施工阶段至竣工阶段；</w:t>
      </w:r>
    </w:p>
    <w:p>
      <w:pPr>
        <w:keepNext w:val="0"/>
        <w:keepLines w:val="0"/>
        <w:pageBreakBefore w:val="0"/>
        <w:widowControl/>
        <w:kinsoku/>
        <w:wordWrap/>
        <w:overflowPunct/>
        <w:topLinePunct w:val="0"/>
        <w:autoSpaceDE/>
        <w:autoSpaceDN/>
        <w:bidi w:val="0"/>
        <w:adjustRightInd/>
        <w:snapToGrid/>
        <w:spacing w:line="400" w:lineRule="exact"/>
        <w:ind w:firstLine="420"/>
        <w:jc w:val="left"/>
        <w:textAlignment w:val="auto"/>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t>3.如果建设单位要求全过程造价咨询服务单位编制或审核招标工程招标控制价，费用另行计算，标准参照附表一。</w:t>
      </w:r>
    </w:p>
    <w:p>
      <w:pPr>
        <w:widowControl/>
        <w:spacing w:line="360" w:lineRule="auto"/>
        <w:ind w:firstLine="420"/>
        <w:jc w:val="left"/>
        <w:rPr>
          <w:rFonts w:hint="eastAsia" w:asciiTheme="minorEastAsia" w:hAnsiTheme="minorEastAsia" w:eastAsiaTheme="minorEastAsia" w:cstheme="minorEastAsia"/>
          <w:color w:val="000000" w:themeColor="text1"/>
          <w:kern w:val="0"/>
          <w:sz w:val="24"/>
          <w:szCs w:val="24"/>
          <w:highlight w:val="none"/>
          <w14:textFill>
            <w14:solidFill>
              <w14:schemeClr w14:val="tx1"/>
            </w14:solidFill>
          </w14:textFill>
        </w:rPr>
      </w:pPr>
    </w:p>
    <w:p>
      <w:pPr>
        <w:rPr>
          <w:rFonts w:hint="eastAsia" w:asciiTheme="minorEastAsia" w:hAnsiTheme="minorEastAsia" w:eastAsiaTheme="minorEastAsia" w:cstheme="minorEastAsia"/>
          <w:color w:val="000000" w:themeColor="text1"/>
          <w:sz w:val="22"/>
          <w:highlight w:val="none"/>
          <w14:textFill>
            <w14:solidFill>
              <w14:schemeClr w14:val="tx1"/>
            </w14:solidFill>
          </w14:textFill>
        </w:rPr>
        <w:sectPr>
          <w:pgSz w:w="16838" w:h="11906" w:orient="landscape"/>
          <w:pgMar w:top="1418" w:right="1418" w:bottom="1418" w:left="1418" w:header="851" w:footer="1134" w:gutter="0"/>
          <w:pgBorders w:offsetFrom="page">
            <w:top w:val="none" w:sz="0" w:space="0"/>
            <w:left w:val="none" w:sz="0" w:space="0"/>
            <w:bottom w:val="none" w:sz="0" w:space="0"/>
            <w:right w:val="none" w:sz="0" w:space="0"/>
          </w:pgBorders>
          <w:pgNumType w:fmt="decimal"/>
          <w:cols w:space="720" w:num="1"/>
          <w:docGrid w:type="linesAndChars" w:linePitch="290" w:charSpace="-3420"/>
        </w:sectPr>
      </w:pPr>
    </w:p>
    <w:p>
      <w:pPr>
        <w:spacing w:line="360" w:lineRule="exact"/>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附表四</w:t>
      </w:r>
    </w:p>
    <w:p>
      <w:pPr>
        <w:spacing w:line="360" w:lineRule="exact"/>
        <w:jc w:val="cente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t>建设工程造价咨询费专业工程调整系数表</w:t>
      </w:r>
    </w:p>
    <w:tbl>
      <w:tblPr>
        <w:tblStyle w:val="11"/>
        <w:tblW w:w="864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1"/>
        <w:gridCol w:w="4554"/>
        <w:gridCol w:w="2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981"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序号</w:t>
            </w:r>
          </w:p>
        </w:tc>
        <w:tc>
          <w:tcPr>
            <w:tcW w:w="4554"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工程类别</w:t>
            </w:r>
          </w:p>
        </w:tc>
        <w:tc>
          <w:tcPr>
            <w:tcW w:w="2108"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专业调整系数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981"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w:t>
            </w:r>
          </w:p>
        </w:tc>
        <w:tc>
          <w:tcPr>
            <w:tcW w:w="4554"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安装工程</w:t>
            </w:r>
          </w:p>
        </w:tc>
        <w:tc>
          <w:tcPr>
            <w:tcW w:w="2108"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981"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w:t>
            </w:r>
          </w:p>
        </w:tc>
        <w:tc>
          <w:tcPr>
            <w:tcW w:w="4554"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装饰装修工程</w:t>
            </w:r>
          </w:p>
        </w:tc>
        <w:tc>
          <w:tcPr>
            <w:tcW w:w="2108"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981"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w:t>
            </w:r>
          </w:p>
        </w:tc>
        <w:tc>
          <w:tcPr>
            <w:tcW w:w="4554"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仿古建筑工程</w:t>
            </w:r>
          </w:p>
        </w:tc>
        <w:tc>
          <w:tcPr>
            <w:tcW w:w="2108"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981"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w:t>
            </w:r>
          </w:p>
        </w:tc>
        <w:tc>
          <w:tcPr>
            <w:tcW w:w="4554"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园林绿化工程</w:t>
            </w:r>
          </w:p>
        </w:tc>
        <w:tc>
          <w:tcPr>
            <w:tcW w:w="2108"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981"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5</w:t>
            </w:r>
          </w:p>
        </w:tc>
        <w:tc>
          <w:tcPr>
            <w:tcW w:w="4554"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房屋建筑工程</w:t>
            </w:r>
          </w:p>
        </w:tc>
        <w:tc>
          <w:tcPr>
            <w:tcW w:w="2108"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981"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w:t>
            </w:r>
          </w:p>
        </w:tc>
        <w:tc>
          <w:tcPr>
            <w:tcW w:w="4554"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水利电力工程</w:t>
            </w:r>
          </w:p>
        </w:tc>
        <w:tc>
          <w:tcPr>
            <w:tcW w:w="2108"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kern w:val="0"/>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0.95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981"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7</w:t>
            </w:r>
          </w:p>
        </w:tc>
        <w:tc>
          <w:tcPr>
            <w:tcW w:w="4554"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桥梁、隧道工程</w:t>
            </w:r>
          </w:p>
        </w:tc>
        <w:tc>
          <w:tcPr>
            <w:tcW w:w="2108"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981"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8</w:t>
            </w:r>
          </w:p>
        </w:tc>
        <w:tc>
          <w:tcPr>
            <w:tcW w:w="4554"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市政工程</w:t>
            </w:r>
          </w:p>
        </w:tc>
        <w:tc>
          <w:tcPr>
            <w:tcW w:w="2108"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981"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9</w:t>
            </w:r>
          </w:p>
        </w:tc>
        <w:tc>
          <w:tcPr>
            <w:tcW w:w="4554"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公路、道路工程</w:t>
            </w:r>
          </w:p>
        </w:tc>
        <w:tc>
          <w:tcPr>
            <w:tcW w:w="2108"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981"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10</w:t>
            </w:r>
          </w:p>
        </w:tc>
        <w:tc>
          <w:tcPr>
            <w:tcW w:w="4554"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城市轨道工程</w:t>
            </w:r>
          </w:p>
        </w:tc>
        <w:tc>
          <w:tcPr>
            <w:tcW w:w="2108"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981"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11</w:t>
            </w:r>
          </w:p>
        </w:tc>
        <w:tc>
          <w:tcPr>
            <w:tcW w:w="4554"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其他工程</w:t>
            </w:r>
          </w:p>
        </w:tc>
        <w:tc>
          <w:tcPr>
            <w:tcW w:w="2108" w:type="dxa"/>
            <w:vAlign w:val="center"/>
          </w:tcPr>
          <w:p>
            <w:pPr>
              <w:pStyle w:val="10"/>
              <w:adjustRightInd w:val="0"/>
              <w:snapToGrid w:val="0"/>
              <w:spacing w:before="0" w:beforeAutospacing="0" w:after="0" w:afterAutospacing="0" w:line="240" w:lineRule="atLeast"/>
              <w:jc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1.0</w:t>
            </w:r>
          </w:p>
        </w:tc>
      </w:tr>
    </w:tbl>
    <w:p>
      <w:pPr>
        <w:spacing w:line="360" w:lineRule="exact"/>
        <w:rPr>
          <w:rFonts w:hint="eastAsia" w:asciiTheme="minorEastAsia" w:hAnsiTheme="minorEastAsia" w:eastAsiaTheme="minorEastAsia" w:cstheme="minorEastAsia"/>
          <w:color w:val="000000" w:themeColor="text1"/>
          <w:sz w:val="22"/>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案例</w:t>
      </w:r>
      <w:r>
        <w:rPr>
          <w:rFonts w:hint="eastAsia" w:asciiTheme="minorEastAsia" w:hAnsiTheme="minorEastAsia" w:eastAsiaTheme="minorEastAsia" w:cstheme="minorEastAsia"/>
          <w:b/>
          <w:color w:val="000000" w:themeColor="text1"/>
          <w:sz w:val="28"/>
          <w:szCs w:val="28"/>
          <w:highlight w:val="none"/>
          <w:lang w:val="en-US" w:eastAsia="zh-CN"/>
          <w14:textFill>
            <w14:solidFill>
              <w14:schemeClr w14:val="tx1"/>
            </w14:solidFill>
          </w14:textFill>
        </w:rPr>
        <w:t>一</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w:t>
      </w:r>
    </w:p>
    <w:p>
      <w:pPr>
        <w:ind w:firstLine="42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某隧道工程</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建安工程费用为283648.02万元，</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咨询服务合同约定的工作内容为“</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审核</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工程量清单及清单计价”，造价咨询服务费计算如下：</w:t>
      </w:r>
    </w:p>
    <w:p>
      <w:pPr>
        <w:numPr>
          <w:ilvl w:val="0"/>
          <w:numId w:val="45"/>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计算收费基价根据本章节附表一。采用内插法计算：</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500*0.3%+1500*0.19%+3000*0.1%+15000*0.05%+(30000*0.04%+(</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283648.02</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-50000)*0.03%)*0.6</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=64.11万元</w:t>
      </w:r>
    </w:p>
    <w:p>
      <w:pPr>
        <w:numPr>
          <w:ilvl w:val="0"/>
          <w:numId w:val="45"/>
        </w:numPr>
        <w:tabs>
          <w:tab w:val="left" w:pos="312"/>
        </w:tabs>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计算造价咨询服务费</w:t>
      </w:r>
    </w:p>
    <w:p>
      <w:pPr>
        <w:numPr>
          <w:ilvl w:val="0"/>
          <w:numId w:val="46"/>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确定专业调整系数，根据本章节附表四，隧道工程取0.9</w:t>
      </w:r>
    </w:p>
    <w:p>
      <w:pPr>
        <w:numPr>
          <w:ilvl w:val="0"/>
          <w:numId w:val="45"/>
        </w:numPr>
        <w:tabs>
          <w:tab w:val="left" w:pos="312"/>
        </w:tabs>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bookmarkStart w:id="10" w:name="_Toc17239"/>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造价咨询服务费合计：64.11*0.9=57.70万元</w:t>
      </w:r>
      <w:bookmarkEnd w:id="10"/>
    </w:p>
    <w:p>
      <w:pP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br w:type="page"/>
      </w:r>
    </w:p>
    <w:p>
      <w:pP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案例</w:t>
      </w:r>
      <w:r>
        <w:rPr>
          <w:rFonts w:hint="eastAsia" w:asciiTheme="minorEastAsia" w:hAnsiTheme="minorEastAsia" w:eastAsiaTheme="minorEastAsia" w:cstheme="minorEastAsia"/>
          <w:b/>
          <w:color w:val="000000" w:themeColor="text1"/>
          <w:sz w:val="28"/>
          <w:szCs w:val="28"/>
          <w:highlight w:val="none"/>
          <w:lang w:val="en-US" w:eastAsia="zh-CN"/>
          <w14:textFill>
            <w14:solidFill>
              <w14:schemeClr w14:val="tx1"/>
            </w14:solidFill>
          </w14:textFill>
        </w:rPr>
        <w:t>二</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w:t>
      </w:r>
    </w:p>
    <w:p>
      <w:pPr>
        <w:ind w:firstLine="42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某道路工程</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建安工程费用为20894.08万元，</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咨询服务合同约定的工作内容为“</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编制</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工程量清单及清单计价”，造价咨询服务费计算如下：</w:t>
      </w:r>
    </w:p>
    <w:p>
      <w:pPr>
        <w:numPr>
          <w:ilvl w:val="0"/>
          <w:numId w:val="47"/>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计算收费基价根据本章节附表一。采用内插法计算：</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500*0.42%+1500*0.3%+3000*0.15%+15000*0.08%+((</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20894.08</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-20000)*0.06%)*0.6</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=23.42万元</w:t>
      </w:r>
    </w:p>
    <w:p>
      <w:pPr>
        <w:numPr>
          <w:ilvl w:val="0"/>
          <w:numId w:val="47"/>
        </w:numPr>
        <w:tabs>
          <w:tab w:val="left" w:pos="312"/>
        </w:tabs>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计算造价咨询服务费</w:t>
      </w:r>
    </w:p>
    <w:p>
      <w:pPr>
        <w:numPr>
          <w:ilvl w:val="0"/>
          <w:numId w:val="48"/>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确定专业调整系数，根据本章节附表四，道路工程取0.9</w:t>
      </w:r>
    </w:p>
    <w:p>
      <w:pPr>
        <w:numPr>
          <w:ilvl w:val="0"/>
          <w:numId w:val="47"/>
        </w:numPr>
        <w:tabs>
          <w:tab w:val="left" w:pos="312"/>
        </w:tabs>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bookmarkStart w:id="11" w:name="_Toc9624"/>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造价咨询服务费合计：23.42*0.9=21.08万元</w:t>
      </w:r>
      <w:bookmarkEnd w:id="11"/>
    </w:p>
    <w:p>
      <w:pP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br w:type="page"/>
      </w:r>
    </w:p>
    <w:p>
      <w:pPr>
        <w:rPr>
          <w:rFonts w:hint="eastAsia" w:asciiTheme="minorEastAsia" w:hAnsiTheme="minorEastAsia" w:eastAsiaTheme="minorEastAsia" w:cstheme="minorEastAsia"/>
          <w:b/>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案例</w:t>
      </w:r>
      <w:r>
        <w:rPr>
          <w:rFonts w:hint="eastAsia" w:asciiTheme="minorEastAsia" w:hAnsiTheme="minorEastAsia" w:eastAsiaTheme="minorEastAsia" w:cstheme="minorEastAsia"/>
          <w:b/>
          <w:color w:val="000000" w:themeColor="text1"/>
          <w:sz w:val="28"/>
          <w:szCs w:val="28"/>
          <w:highlight w:val="none"/>
          <w:lang w:val="en-US" w:eastAsia="zh-CN"/>
          <w14:textFill>
            <w14:solidFill>
              <w14:schemeClr w14:val="tx1"/>
            </w14:solidFill>
          </w14:textFill>
        </w:rPr>
        <w:t>三</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w:t>
      </w:r>
    </w:p>
    <w:p>
      <w:pPr>
        <w:ind w:firstLine="42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某房建工程</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建安工程费用为15000万元，其中1栋建安工程费用为6500万元（含安装工程1500万元），2栋建安工程费用为8500万元（含安装工程2000万元），</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咨询服务合同约定的工作内容为“</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编制</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工程量清单及清单计价”，造价咨询服务费计算如下：</w:t>
      </w:r>
    </w:p>
    <w:p>
      <w:pPr>
        <w:numPr>
          <w:ilvl w:val="0"/>
          <w:numId w:val="49"/>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计算收费基价根据本章节附表一。采用内插法计算：</w:t>
      </w:r>
    </w:p>
    <w:p>
      <w:pPr>
        <w:numPr>
          <w:ilvl w:val="0"/>
          <w:numId w:val="0"/>
        </w:numPr>
        <w:ind w:leftChars="0"/>
        <w:jc w:val="left"/>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1栋：</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500*0.42%+1500*0.3%+3000*0.15%+</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(6500-5000)</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*0.08%</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=12.30万元</w:t>
      </w:r>
    </w:p>
    <w:p>
      <w:pPr>
        <w:numPr>
          <w:ilvl w:val="0"/>
          <w:numId w:val="0"/>
        </w:numPr>
        <w:ind w:leftChars="0"/>
        <w:jc w:val="left"/>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2栋：</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500*0.42%+1500*0.3%+3000*0.15%+</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(8500-5000)</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*0.08%</w:t>
      </w: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=13.90万元</w:t>
      </w:r>
    </w:p>
    <w:p>
      <w:pPr>
        <w:numPr>
          <w:ilvl w:val="0"/>
          <w:numId w:val="49"/>
        </w:numPr>
        <w:tabs>
          <w:tab w:val="left" w:pos="312"/>
        </w:tabs>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计算造价咨询服务费</w:t>
      </w:r>
    </w:p>
    <w:p>
      <w:pPr>
        <w:numPr>
          <w:ilvl w:val="0"/>
          <w:numId w:val="50"/>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确定专业调整系数，根据本章节附表四，建筑工程取1.0，安装工程取1.3；</w:t>
      </w:r>
    </w:p>
    <w:p>
      <w:pPr>
        <w:numPr>
          <w:ilvl w:val="0"/>
          <w:numId w:val="50"/>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1栋专业调整系数：1500/6500*1.3+(6500-1500)/6500*1.0=1.069</w:t>
      </w:r>
    </w:p>
    <w:p>
      <w:pPr>
        <w:numPr>
          <w:ilvl w:val="0"/>
          <w:numId w:val="50"/>
        </w:numPr>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2栋专业调整系数：2000/8500*1.3+(8500-2000)/8500*1.0=1.071</w:t>
      </w:r>
    </w:p>
    <w:p>
      <w:pPr>
        <w:numPr>
          <w:ilvl w:val="0"/>
          <w:numId w:val="49"/>
        </w:numPr>
        <w:tabs>
          <w:tab w:val="left" w:pos="312"/>
        </w:tabs>
        <w:ind w:left="425" w:leftChars="0" w:hanging="425" w:firstLineChars="0"/>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bookmarkStart w:id="12" w:name="_Toc28253"/>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造价咨询服务费合计：</w:t>
      </w:r>
      <w:bookmarkEnd w:id="12"/>
    </w:p>
    <w:p>
      <w:pPr>
        <w:numPr>
          <w:ilvl w:val="0"/>
          <w:numId w:val="0"/>
        </w:numPr>
        <w:ind w:leftChars="0"/>
        <w:jc w:val="left"/>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bookmarkStart w:id="13" w:name="_Toc13283"/>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1栋：12.3*1.069=13.15万元</w:t>
      </w:r>
      <w:bookmarkEnd w:id="13"/>
    </w:p>
    <w:p>
      <w:pPr>
        <w:numPr>
          <w:ilvl w:val="0"/>
          <w:numId w:val="0"/>
        </w:numPr>
        <w:ind w:leftChars="0"/>
        <w:jc w:val="left"/>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bookmarkStart w:id="14" w:name="_Toc30849"/>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2栋：13.9*1.071=14.88万元</w:t>
      </w:r>
      <w:bookmarkEnd w:id="14"/>
    </w:p>
    <w:p>
      <w:pPr>
        <w:numPr>
          <w:ilvl w:val="0"/>
          <w:numId w:val="0"/>
        </w:numPr>
        <w:ind w:leftChars="0"/>
        <w:jc w:val="left"/>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bookmarkStart w:id="15" w:name="_Toc19718"/>
      <w:r>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t>合计：13.15+14.88=28.03万元</w:t>
      </w:r>
      <w:bookmarkEnd w:id="15"/>
    </w:p>
    <w:p>
      <w:pPr>
        <w:jc w:val="both"/>
        <w:outlineLvl w:val="9"/>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p>
    <w:p>
      <w:pPr>
        <w:jc w:val="both"/>
        <w:outlineLvl w:val="9"/>
        <w:rPr>
          <w:rFonts w:hint="eastAsia" w:asciiTheme="minorEastAsia" w:hAnsiTheme="minorEastAsia" w:eastAsiaTheme="minorEastAsia" w:cstheme="minorEastAsia"/>
          <w:b w:val="0"/>
          <w:bCs/>
          <w:color w:val="000000" w:themeColor="text1"/>
          <w:sz w:val="28"/>
          <w:szCs w:val="28"/>
          <w:highlight w:val="none"/>
          <w:lang w:val="en-US" w:eastAsia="zh-CN"/>
          <w14:textFill>
            <w14:solidFill>
              <w14:schemeClr w14:val="tx1"/>
            </w14:solidFill>
          </w14:textFill>
        </w:rPr>
      </w:pPr>
    </w:p>
    <w:p>
      <w:pPr>
        <w:ind w:firstLine="480"/>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p>
    <w:p>
      <w:pP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p>
    <w:p>
      <w:pPr>
        <w:pStyle w:val="2"/>
        <w:bidi w:val="0"/>
        <w:jc w:val="center"/>
        <w:rPr>
          <w:rFonts w:hint="eastAsia"/>
          <w:color w:val="000000" w:themeColor="text1"/>
          <w:sz w:val="36"/>
          <w:szCs w:val="36"/>
          <w:highlight w:val="none"/>
          <w:lang w:val="en-US" w:eastAsia="zh-CN"/>
          <w14:textFill>
            <w14:solidFill>
              <w14:schemeClr w14:val="tx1"/>
            </w14:solidFill>
          </w14:textFill>
        </w:rPr>
      </w:pPr>
      <w:bookmarkStart w:id="16" w:name="_Toc31227"/>
      <w:r>
        <w:rPr>
          <w:rFonts w:hint="eastAsia"/>
          <w:color w:val="000000" w:themeColor="text1"/>
          <w:sz w:val="36"/>
          <w:szCs w:val="36"/>
          <w:highlight w:val="none"/>
          <w:lang w:val="en-US" w:eastAsia="zh-CN"/>
          <w14:textFill>
            <w14:solidFill>
              <w14:schemeClr w14:val="tx1"/>
            </w14:solidFill>
          </w14:textFill>
        </w:rPr>
        <w:t>第五章  工程测量费</w:t>
      </w:r>
      <w:bookmarkEnd w:id="16"/>
    </w:p>
    <w:p>
      <w:pPr>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pPr>
    </w:p>
    <w:p>
      <w:pPr>
        <w:numPr>
          <w:ilvl w:val="0"/>
          <w:numId w:val="51"/>
        </w:numPr>
        <w:spacing w:line="500" w:lineRule="exact"/>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工作内容：</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工程</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测量</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服务单位根据签订的协议以及国家、省有关建设工程</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测量</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的规定、技术标准，对协议约定的</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工程</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范围</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和对象</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进行</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测量</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服务，并出具</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测量</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报告。</w:t>
      </w:r>
    </w:p>
    <w:p>
      <w:pPr>
        <w:numPr>
          <w:ilvl w:val="0"/>
          <w:numId w:val="0"/>
        </w:numPr>
        <w:spacing w:line="500" w:lineRule="exact"/>
        <w:ind w:firstLine="560" w:firstLineChars="20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主要包括以下测量内容：</w:t>
      </w:r>
    </w:p>
    <w:p>
      <w:pPr>
        <w:numPr>
          <w:ilvl w:val="0"/>
          <w:numId w:val="52"/>
        </w:numPr>
        <w:ind w:left="420" w:leftChars="0" w:firstLine="218" w:firstLineChars="78"/>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控制测量</w:t>
      </w:r>
    </w:p>
    <w:p>
      <w:pPr>
        <w:numPr>
          <w:ilvl w:val="0"/>
          <w:numId w:val="52"/>
        </w:numPr>
        <w:ind w:left="420" w:leftChars="0" w:firstLine="218" w:firstLineChars="78"/>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断面测量</w:t>
      </w:r>
    </w:p>
    <w:p>
      <w:pPr>
        <w:numPr>
          <w:ilvl w:val="0"/>
          <w:numId w:val="52"/>
        </w:numPr>
        <w:ind w:left="420" w:leftChars="0" w:firstLine="218" w:firstLineChars="78"/>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管线测量</w:t>
      </w:r>
    </w:p>
    <w:p>
      <w:pPr>
        <w:numPr>
          <w:ilvl w:val="0"/>
          <w:numId w:val="52"/>
        </w:numPr>
        <w:ind w:left="420" w:leftChars="0" w:firstLine="218" w:firstLineChars="78"/>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滩涂测量</w:t>
      </w:r>
    </w:p>
    <w:p>
      <w:pPr>
        <w:numPr>
          <w:ilvl w:val="0"/>
          <w:numId w:val="52"/>
        </w:numPr>
        <w:ind w:left="420" w:leftChars="0" w:firstLine="218" w:firstLineChars="78"/>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水下地形测量</w:t>
      </w:r>
    </w:p>
    <w:p>
      <w:pPr>
        <w:numPr>
          <w:ilvl w:val="0"/>
          <w:numId w:val="52"/>
        </w:numPr>
        <w:ind w:left="420" w:leftChars="0" w:firstLine="218" w:firstLineChars="78"/>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市政工程测量</w:t>
      </w:r>
    </w:p>
    <w:p>
      <w:pPr>
        <w:numPr>
          <w:ilvl w:val="0"/>
          <w:numId w:val="52"/>
        </w:numPr>
        <w:ind w:left="420" w:leftChars="0" w:firstLine="218" w:firstLineChars="78"/>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变形测量</w:t>
      </w:r>
    </w:p>
    <w:p>
      <w:pPr>
        <w:numPr>
          <w:ilvl w:val="0"/>
          <w:numId w:val="52"/>
        </w:numPr>
        <w:ind w:left="420" w:leftChars="0" w:firstLine="218" w:firstLineChars="78"/>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野外地形数据采集计成图</w:t>
      </w:r>
    </w:p>
    <w:p>
      <w:pPr>
        <w:numPr>
          <w:ilvl w:val="0"/>
          <w:numId w:val="52"/>
        </w:numPr>
        <w:ind w:left="420" w:leftChars="0" w:firstLine="218" w:firstLineChars="78"/>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其他测量。</w:t>
      </w:r>
    </w:p>
    <w:p>
      <w:pPr>
        <w:numPr>
          <w:ilvl w:val="0"/>
          <w:numId w:val="51"/>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适用范围：本市政府投资建设项目的工程测量费招标上限值（预算控制价）编、审及相关费用的结算可参考本标准。</w:t>
      </w:r>
    </w:p>
    <w:p>
      <w:pPr>
        <w:numPr>
          <w:ilvl w:val="0"/>
          <w:numId w:val="51"/>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计费标准：本标准工程测量费采用综合单价包干的形式，分别按三种困难类别（Ⅰ、Ⅱ、Ⅲ，见附表二）制定相应的价格，特殊要求增减工作内容的，其价格按“说明”栏的规定作相应调整。计费标准见附件一《工程测量工作计费基价表》。</w:t>
      </w:r>
    </w:p>
    <w:p>
      <w:pPr>
        <w:numPr>
          <w:ilvl w:val="0"/>
          <w:numId w:val="51"/>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相关说明</w:t>
      </w:r>
    </w:p>
    <w:p>
      <w:pPr>
        <w:numPr>
          <w:ilvl w:val="0"/>
          <w:numId w:val="53"/>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购买管线图，按300元/公里计费；购买数字地形图，按附件一数字化地形图测量标准的10%计算</w:t>
      </w:r>
    </w:p>
    <w:p>
      <w:pPr>
        <w:numPr>
          <w:ilvl w:val="0"/>
          <w:numId w:val="53"/>
        </w:numPr>
        <w:ind w:left="0" w:leftChars="0" w:firstLine="640" w:firstLineChars="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高压铁塔测量、碎部电测量等其他零星测量，按700元/组日计算。</w:t>
      </w:r>
    </w:p>
    <w:p>
      <w:pPr>
        <w:numPr>
          <w:ilvl w:val="0"/>
          <w:numId w:val="53"/>
        </w:numPr>
        <w:ind w:left="0" w:leftChars="0" w:firstLine="640" w:firstLineChars="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建筑物定点</w:t>
      </w:r>
      <w:r>
        <w:rPr>
          <w:rFonts w:hint="eastAsia" w:asciiTheme="minorEastAsia" w:hAnsiTheme="minorEastAsia" w:eastAsiaTheme="minorEastAsia" w:cstheme="minorEastAsia"/>
          <w:bCs/>
          <w:color w:val="000000" w:themeColor="text1"/>
          <w:sz w:val="28"/>
          <w:szCs w:val="28"/>
          <w:highlight w:val="none"/>
          <w:lang w:eastAsia="zh-CN"/>
          <w14:textFill>
            <w14:solidFill>
              <w14:schemeClr w14:val="tx1"/>
            </w14:solidFill>
          </w14:textFill>
        </w:rPr>
        <w:t>放</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线（含放界桩），按实际点数</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计</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费，每点</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168</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元。</w:t>
      </w:r>
    </w:p>
    <w:p>
      <w:pPr>
        <w:numPr>
          <w:ilvl w:val="0"/>
          <w:numId w:val="51"/>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名词解释</w:t>
      </w:r>
    </w:p>
    <w:p>
      <w:pPr>
        <w:numPr>
          <w:ilvl w:val="0"/>
          <w:numId w:val="54"/>
        </w:numPr>
        <w:spacing w:line="500" w:lineRule="exact"/>
        <w:ind w:left="0" w:leftChars="0" w:firstLine="640" w:firstLineChars="0"/>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工程测量费：指工程建设项目在前期规划、工可研究、勘测设计及施工过程中进行测量工作所需的费用。</w:t>
      </w:r>
    </w:p>
    <w:p>
      <w:pPr>
        <w:rPr>
          <w:rFonts w:hint="eastAsia" w:asciiTheme="minorEastAsia" w:hAnsiTheme="minorEastAsia" w:eastAsiaTheme="minorEastAsia" w:cstheme="minorEastAsia"/>
          <w:bCs/>
          <w:color w:val="000000" w:themeColor="text1"/>
          <w:sz w:val="28"/>
          <w:szCs w:val="28"/>
          <w:highlight w:val="none"/>
          <w:lang w:val="en-US"/>
          <w14:textFill>
            <w14:solidFill>
              <w14:schemeClr w14:val="tx1"/>
            </w14:solidFill>
          </w14:textFill>
        </w:rPr>
        <w:sectPr>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p>
    <w:tbl>
      <w:tblPr>
        <w:tblStyle w:val="11"/>
        <w:tblW w:w="13988" w:type="dxa"/>
        <w:tblInd w:w="0" w:type="dxa"/>
        <w:shd w:val="clear" w:color="auto" w:fill="auto"/>
        <w:tblLayout w:type="fixed"/>
        <w:tblCellMar>
          <w:top w:w="0" w:type="dxa"/>
          <w:left w:w="0" w:type="dxa"/>
          <w:bottom w:w="0" w:type="dxa"/>
          <w:right w:w="0" w:type="dxa"/>
        </w:tblCellMar>
      </w:tblPr>
      <w:tblGrid>
        <w:gridCol w:w="673"/>
        <w:gridCol w:w="3598"/>
        <w:gridCol w:w="820"/>
        <w:gridCol w:w="1472"/>
        <w:gridCol w:w="1634"/>
        <w:gridCol w:w="1740"/>
        <w:gridCol w:w="2395"/>
        <w:gridCol w:w="1656"/>
      </w:tblGrid>
      <w:tr>
        <w:tblPrEx>
          <w:tblLayout w:type="fixed"/>
          <w:tblCellMar>
            <w:top w:w="0" w:type="dxa"/>
            <w:left w:w="0" w:type="dxa"/>
            <w:bottom w:w="0" w:type="dxa"/>
            <w:right w:w="0" w:type="dxa"/>
          </w:tblCellMar>
        </w:tblPrEx>
        <w:trPr>
          <w:trHeight w:val="720" w:hRule="atLeast"/>
        </w:trPr>
        <w:tc>
          <w:tcPr>
            <w:tcW w:w="13988"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ind w:firstLine="241" w:firstLineChars="100"/>
              <w:jc w:val="left"/>
              <w:textAlignment w:val="center"/>
              <w:rPr>
                <w:rFonts w:hint="eastAsia" w:asciiTheme="minorEastAsia" w:hAnsiTheme="minorEastAsia" w:eastAsiaTheme="minorEastAsia" w:cstheme="minorEastAsia"/>
                <w:b/>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14:textFill>
                  <w14:solidFill>
                    <w14:schemeClr w14:val="tx1"/>
                  </w14:solidFill>
                </w14:textFill>
              </w:rPr>
              <w:t xml:space="preserve">附表一                                     工程测量工作收费基价表                                                                                                         </w:t>
            </w:r>
          </w:p>
        </w:tc>
      </w:tr>
      <w:tr>
        <w:tblPrEx>
          <w:shd w:val="clear" w:color="auto" w:fill="auto"/>
          <w:tblLayout w:type="fixed"/>
          <w:tblCellMar>
            <w:top w:w="0" w:type="dxa"/>
            <w:left w:w="0" w:type="dxa"/>
            <w:bottom w:w="0" w:type="dxa"/>
            <w:right w:w="0" w:type="dxa"/>
          </w:tblCellMar>
        </w:tblPrEx>
        <w:trPr>
          <w:trHeight w:val="360" w:hRule="atLeast"/>
        </w:trPr>
        <w:tc>
          <w:tcPr>
            <w:tcW w:w="673" w:type="dxa"/>
            <w:vMerge w:val="restart"/>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序号</w:t>
            </w:r>
          </w:p>
        </w:tc>
        <w:tc>
          <w:tcPr>
            <w:tcW w:w="3598"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产品名称</w:t>
            </w:r>
          </w:p>
        </w:tc>
        <w:tc>
          <w:tcPr>
            <w:tcW w:w="820"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计量单位</w:t>
            </w:r>
          </w:p>
        </w:tc>
        <w:tc>
          <w:tcPr>
            <w:tcW w:w="4846"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价    格（元）</w:t>
            </w:r>
          </w:p>
        </w:tc>
        <w:tc>
          <w:tcPr>
            <w:tcW w:w="2395"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主要工作内容</w:t>
            </w:r>
          </w:p>
        </w:tc>
        <w:tc>
          <w:tcPr>
            <w:tcW w:w="1656" w:type="dxa"/>
            <w:vMerge w:val="restart"/>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说  明</w:t>
            </w:r>
          </w:p>
        </w:tc>
      </w:tr>
      <w:tr>
        <w:tblPrEx>
          <w:shd w:val="clear" w:color="auto" w:fill="auto"/>
          <w:tblLayout w:type="fixed"/>
          <w:tblCellMar>
            <w:top w:w="0" w:type="dxa"/>
            <w:left w:w="0" w:type="dxa"/>
            <w:bottom w:w="0" w:type="dxa"/>
            <w:right w:w="0" w:type="dxa"/>
          </w:tblCellMar>
        </w:tblPrEx>
        <w:trPr>
          <w:trHeight w:val="360" w:hRule="atLeast"/>
        </w:trPr>
        <w:tc>
          <w:tcPr>
            <w:tcW w:w="673" w:type="dxa"/>
            <w:vMerge w:val="continue"/>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20"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I</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Ⅱ</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Ⅲ</w:t>
            </w:r>
          </w:p>
        </w:tc>
        <w:tc>
          <w:tcPr>
            <w:tcW w:w="2395"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一</w:t>
            </w: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控制测量</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二等三角</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点</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4623.09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7031.81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10411.72 </w:t>
            </w:r>
          </w:p>
        </w:tc>
        <w:tc>
          <w:tcPr>
            <w:tcW w:w="2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准备工作，选点，埋石，观测，测定气象元素，绘点之记，计算。</w:t>
            </w:r>
          </w:p>
        </w:tc>
        <w:tc>
          <w:tcPr>
            <w:tcW w:w="1656"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适用于市政工程控制测量。</w:t>
            </w: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三等三角</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点</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3174.08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4754.51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6681.46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四等三角</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点</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1696.86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2496.55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3285.43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一、二级小三角</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点</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729.76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1123.79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1465.28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一、二、三级导线</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1785.84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3826.98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5740.41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三等电磁波测距导线</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点</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2364.98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3815.46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5449.05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水准测量以实际测量的单程公里数计算</w:t>
            </w: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四等电磁波测距导线</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点</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1357.26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2197.03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3036.80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二、三、四等水准选埋</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点</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610.13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905.71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1236.98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二等水准测量</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502.57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698.96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1037.12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三、四等水准测量</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313.26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405.51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505.62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等外水准测量</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150.44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227.39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291.63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GPS测量</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B级以上按大地测量中GPS测量价格计算。</w:t>
            </w: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C级</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点</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3732.74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5093.03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6453.32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D级</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点</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3161.77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4327.21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5492.64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E级</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点</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2810.27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3816.47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4790.08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二</w:t>
            </w: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大地测量</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水准测量</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普通标石选埋</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点</w:t>
            </w: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3383.35</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4249.83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4829.91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一等水准观测</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954.63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1141.20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1324.14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二等水准观测</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689.59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819.36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946.46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GPS测量</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B级</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点</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12849.96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15438.23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18240.92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C级</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点</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6154.51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8126.75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10097.03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三</w:t>
            </w: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断面测量</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1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水平比例尺</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1：200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609.60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812.40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1118.40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l：500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471.00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628.20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864.00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1：1000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364.20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485.40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667.80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l：2000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280.80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375.00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516.00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7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1：5000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217.20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288.60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399.00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四</w:t>
            </w: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管线测量</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108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竣工测量</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2524.13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3454.78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4737.83 </w:t>
            </w:r>
          </w:p>
        </w:tc>
        <w:tc>
          <w:tcPr>
            <w:tcW w:w="2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布设图根导线，引测水准，测管线起点、折点、交点、终点、分支点、变坡点和变径点的坐标和高程，管线调查，管线探测，资料整理，计算，展点，清绘，绘略图，写说明，检查修改</w:t>
            </w:r>
          </w:p>
        </w:tc>
        <w:tc>
          <w:tcPr>
            <w:tcW w:w="1656"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计量系按管线长度累计计算（不足0.5公里时以0.5公里计）</w:t>
            </w: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五</w:t>
            </w: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滩涂测量</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52"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1：10000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平方公里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11625.67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15320.47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19015.28 </w:t>
            </w:r>
          </w:p>
        </w:tc>
        <w:tc>
          <w:tcPr>
            <w:tcW w:w="2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准备、控制，测深，测障碍物，验潮，修测岸线，绘图，检查修改，整理成果。</w:t>
            </w:r>
          </w:p>
        </w:tc>
        <w:tc>
          <w:tcPr>
            <w:tcW w:w="1656"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97"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1：5000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平方公里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19235.48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24493.99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30000.18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06"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1：2000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平方公里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248007.12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32572.04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40336.97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1：1000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平方公里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38081.56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52905.43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67729.30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1：500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平方公里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119427.11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143892.05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170500.41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六</w:t>
            </w: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水下地形测量</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1．河湖测量</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4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1：10000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平方公里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6781.86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9896.51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13011.17 </w:t>
            </w:r>
          </w:p>
        </w:tc>
        <w:tc>
          <w:tcPr>
            <w:tcW w:w="2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检校仪器，展点，确定测站位置，测注高程点，测绘水边线及水下地形，接边，整饰，外业资料检查整理，测区内迁站。</w:t>
            </w:r>
          </w:p>
        </w:tc>
        <w:tc>
          <w:tcPr>
            <w:tcW w:w="1656"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1：5000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平方公里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12717.31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21409.65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27575.91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1：2000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平方公里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22328.56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34937.41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47546.27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1：1000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平方公里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39331.84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62278.00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85224.16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1：500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平方公里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102490.56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161578.85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220667.14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2．河道断面测量</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(1)纵断面1：10000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1442.69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1649.42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1972.36 </w:t>
            </w:r>
          </w:p>
        </w:tc>
        <w:tc>
          <w:tcPr>
            <w:tcW w:w="2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准备工作，检校仪器，测量断面点的位置和高程，整理计算，编制成果表，绘制断面图和平面图，检查修改，着墨整饰，编写资料说明，测区内迁站。</w:t>
            </w:r>
          </w:p>
        </w:tc>
        <w:tc>
          <w:tcPr>
            <w:tcW w:w="1656"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计量按断面宽度累计计算。</w:t>
            </w: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3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(2)横断面</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平均宽度200米以内</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4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1：10000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3413.17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4264.12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5265.73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1：2000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4050.64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5384.80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6718.94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平均宽度200—500米</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4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1：10000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3276.89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3731.11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4891.57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1：2000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3572.69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4895.27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6016.70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平均宽度500—1000米</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4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1：10000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2630.99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3464.60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4446.88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1：2000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2918.50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3916.21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4813.36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平均宽度1000—2000米</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4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1：10000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2347.88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3330.69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3767.39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1：2000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2688.21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3581.53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4273.71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平均宽度2000米以上</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4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1：10000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1917.98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2775.58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3651.62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1：2000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2289.82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3069.88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4173.28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(3)淤积断面l：2000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4520.47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5873.26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7226.05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3．渠、堤测量</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(1)纵断面1：10000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1048.76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1363.37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2097.49 </w:t>
            </w:r>
          </w:p>
        </w:tc>
        <w:tc>
          <w:tcPr>
            <w:tcW w:w="2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纵断面中心导线测量，纵横断面测量，资料整理，编制成果表，绘制纵横断面图及检校，测区内迁移。</w:t>
            </w: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(2)横断面</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平均宽度200米以内</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4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1：10000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807.91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1154.16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1990.93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1：2000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1096.45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1558.12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2625.71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平均宽度200—500米</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4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1：10000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1131.08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1615.82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2787.30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1：2000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1535.03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2181.36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3676.00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平均宽度500—800米</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4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1：10000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1373.45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1962.07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3384.58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1：2000</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1863.97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2648.80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4463.71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七</w:t>
            </w: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市政工程测量</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192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1、工程线路测量</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2938.27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4082.52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7471.78 </w:t>
            </w:r>
          </w:p>
        </w:tc>
        <w:tc>
          <w:tcPr>
            <w:tcW w:w="2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踏勘，选线，定线(不含纵横断面施测)，检校仪器，测定起点，终点，折点，交点，方向点，测曲线，联测条件座标，计算数据，绘中线示意图，编制成果表，资料整理，编写施测报告，检查修改。</w:t>
            </w:r>
          </w:p>
        </w:tc>
        <w:tc>
          <w:tcPr>
            <w:tcW w:w="1656"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不足0．5公里时以0．5公里计。</w:t>
            </w:r>
          </w:p>
        </w:tc>
      </w:tr>
      <w:tr>
        <w:tblPrEx>
          <w:tblLayout w:type="fixed"/>
          <w:tblCellMar>
            <w:top w:w="0" w:type="dxa"/>
            <w:left w:w="0" w:type="dxa"/>
            <w:bottom w:w="0" w:type="dxa"/>
            <w:right w:w="0" w:type="dxa"/>
          </w:tblCellMar>
        </w:tblPrEx>
        <w:trPr>
          <w:trHeight w:val="14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2、规划道路定线</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2176.49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2751.77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3327.04 </w:t>
            </w:r>
          </w:p>
        </w:tc>
        <w:tc>
          <w:tcPr>
            <w:tcW w:w="2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踏勘，准备资料，补充控制点，拨地钉桩，钉方向桩。联测条件座标，计算导线，计算垂距，解算交点坐标，检查验收，整理资料，抄录成果通知单。</w:t>
            </w: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142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八</w:t>
            </w: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变形测量</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组工日</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1472.40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2559.00 </w:t>
            </w:r>
          </w:p>
        </w:tc>
        <w:tc>
          <w:tcPr>
            <w:tcW w:w="2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踏勘，技术设计，埋石(沉降观测点)，观测(含定期观测)，内业计算，绘制形变曲线图，编写说明，检查修改，资料整理</w:t>
            </w:r>
          </w:p>
        </w:tc>
        <w:tc>
          <w:tcPr>
            <w:tcW w:w="1656"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1．班组定员5人2．Ⅲ类系指从基础层开始测量</w:t>
            </w:r>
          </w:p>
        </w:tc>
      </w:tr>
      <w:tr>
        <w:tblPrEx>
          <w:shd w:val="clear" w:color="auto" w:fill="auto"/>
          <w:tblLayout w:type="fixed"/>
          <w:tblCellMar>
            <w:top w:w="0" w:type="dxa"/>
            <w:left w:w="0" w:type="dxa"/>
            <w:bottom w:w="0" w:type="dxa"/>
            <w:right w:w="0" w:type="dxa"/>
          </w:tblCellMar>
        </w:tblPrEx>
        <w:trPr>
          <w:trHeight w:val="27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九</w:t>
            </w:r>
          </w:p>
        </w:tc>
        <w:tc>
          <w:tcPr>
            <w:tcW w:w="3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野外地形数据采集计成图</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7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1、数字线划地图</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图根控制，野外采集数据，属性调查，绘示意图，室内编辑，接边，回放检查，整理资料</w:t>
            </w:r>
          </w:p>
        </w:tc>
        <w:tc>
          <w:tcPr>
            <w:tcW w:w="1656" w:type="dxa"/>
            <w:vMerge w:val="restart"/>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7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Chars="3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（DLG）</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7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1：2000</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幅</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9830.35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16365.59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26107.82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7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1：1000</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幅</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5703.19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9950.28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14197.37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50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1：500</w:t>
            </w:r>
          </w:p>
        </w:tc>
        <w:tc>
          <w:tcPr>
            <w:tcW w:w="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幅</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3367.32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4844.21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6962.52 </w:t>
            </w: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十</w:t>
            </w: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其它</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建筑用地拨地定桩</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件(4点)</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1218.45 </w:t>
            </w: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1556.59 </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2339.15 </w:t>
            </w:r>
          </w:p>
        </w:tc>
        <w:tc>
          <w:tcPr>
            <w:tcW w:w="23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仪器检验，踏勘，选点，测角，测距，测高，测细部点座标，内业计算，绘制平面位置图，提交图纸资料。</w:t>
            </w:r>
          </w:p>
        </w:tc>
        <w:tc>
          <w:tcPr>
            <w:tcW w:w="1656"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1．人防工事宽度按lOm考虑，宽度小于l0m时，价格增加30％。    2．长度不足0．5公里时以0．5公里计。</w:t>
            </w:r>
          </w:p>
        </w:tc>
      </w:tr>
      <w:tr>
        <w:tblPrEx>
          <w:shd w:val="clear" w:color="auto" w:fill="auto"/>
          <w:tblLayout w:type="fixed"/>
          <w:tblCellMar>
            <w:top w:w="0" w:type="dxa"/>
            <w:left w:w="0" w:type="dxa"/>
            <w:bottom w:w="0" w:type="dxa"/>
            <w:right w:w="0" w:type="dxa"/>
          </w:tblCellMar>
        </w:tblPrEx>
        <w:trPr>
          <w:trHeight w:val="34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建筑物放线</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件</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1556.59 </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80" w:hRule="atLeast"/>
        </w:trPr>
        <w:tc>
          <w:tcPr>
            <w:tcW w:w="673"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人防洞室(含天然洞穴)测量</w:t>
            </w:r>
          </w:p>
        </w:tc>
        <w:tc>
          <w:tcPr>
            <w:tcW w:w="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公里</w:t>
            </w:r>
          </w:p>
        </w:tc>
        <w:tc>
          <w:tcPr>
            <w:tcW w:w="14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1778.80 </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960" w:hRule="atLeast"/>
        </w:trPr>
        <w:tc>
          <w:tcPr>
            <w:tcW w:w="673" w:type="dxa"/>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3598"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Chars="20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极坐标细部点测量</w:t>
            </w:r>
          </w:p>
        </w:tc>
        <w:tc>
          <w:tcPr>
            <w:tcW w:w="82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点</w:t>
            </w:r>
          </w:p>
        </w:tc>
        <w:tc>
          <w:tcPr>
            <w:tcW w:w="147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34"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36.00 </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56"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bl>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br w:type="page"/>
      </w:r>
    </w:p>
    <w:tbl>
      <w:tblPr>
        <w:tblStyle w:val="11"/>
        <w:tblW w:w="13980" w:type="dxa"/>
        <w:tblInd w:w="0" w:type="dxa"/>
        <w:shd w:val="clear" w:color="auto" w:fill="auto"/>
        <w:tblLayout w:type="fixed"/>
        <w:tblCellMar>
          <w:top w:w="0" w:type="dxa"/>
          <w:left w:w="0" w:type="dxa"/>
          <w:bottom w:w="0" w:type="dxa"/>
          <w:right w:w="0" w:type="dxa"/>
        </w:tblCellMar>
      </w:tblPr>
      <w:tblGrid>
        <w:gridCol w:w="1266"/>
        <w:gridCol w:w="5981"/>
        <w:gridCol w:w="6733"/>
      </w:tblGrid>
      <w:tr>
        <w:tblPrEx>
          <w:shd w:val="clear" w:color="auto" w:fill="auto"/>
          <w:tblLayout w:type="fixed"/>
          <w:tblCellMar>
            <w:top w:w="0" w:type="dxa"/>
            <w:left w:w="0" w:type="dxa"/>
            <w:bottom w:w="0" w:type="dxa"/>
            <w:right w:w="0" w:type="dxa"/>
          </w:tblCellMar>
        </w:tblPrEx>
        <w:trPr>
          <w:trHeight w:val="72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bCs/>
                <w:i w:val="0"/>
                <w:color w:val="000000" w:themeColor="text1"/>
                <w:kern w:val="0"/>
                <w:sz w:val="24"/>
                <w:szCs w:val="24"/>
                <w:highlight w:val="none"/>
                <w:u w:val="none"/>
                <w:lang w:val="en-US" w:eastAsia="zh-CN" w:bidi="ar"/>
                <w14:textFill>
                  <w14:solidFill>
                    <w14:schemeClr w14:val="tx1"/>
                  </w14:solidFill>
                </w14:textFill>
              </w:rPr>
              <w:t>附表二</w:t>
            </w:r>
          </w:p>
        </w:tc>
        <w:tc>
          <w:tcPr>
            <w:tcW w:w="5981"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13980"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bCs/>
                <w:i w:val="0"/>
                <w:color w:val="000000" w:themeColor="text1"/>
                <w:kern w:val="0"/>
                <w:sz w:val="24"/>
                <w:szCs w:val="24"/>
                <w:highlight w:val="none"/>
                <w:u w:val="none"/>
                <w:lang w:val="en-US" w:eastAsia="zh-CN" w:bidi="ar"/>
                <w14:textFill>
                  <w14:solidFill>
                    <w14:schemeClr w14:val="tx1"/>
                  </w14:solidFill>
                </w14:textFill>
              </w:rPr>
              <w:t>工程测量复杂程度表</w:t>
            </w:r>
          </w:p>
        </w:tc>
      </w:tr>
      <w:tr>
        <w:tblPrEx>
          <w:shd w:val="clear" w:color="auto" w:fill="auto"/>
          <w:tblLayout w:type="fixed"/>
          <w:tblCellMar>
            <w:top w:w="0" w:type="dxa"/>
            <w:left w:w="0" w:type="dxa"/>
            <w:bottom w:w="0" w:type="dxa"/>
            <w:right w:w="0" w:type="dxa"/>
          </w:tblCellMar>
        </w:tblPrEx>
        <w:trPr>
          <w:trHeight w:val="36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项目名称：</w:t>
            </w:r>
          </w:p>
        </w:tc>
        <w:tc>
          <w:tcPr>
            <w:tcW w:w="59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大地测量数据处理</w:t>
            </w: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类别</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               区</w:t>
            </w: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Ⅰ</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资料简单清楚，电子计薄的数据格式一致，已经过概算，成果无误，数据处理工作量小</w:t>
            </w: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Ⅱ</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电子计薄的数据格式不一致，资料不统一，需进行分析，整理和严格检查，数据处理工作量较大</w:t>
            </w: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Ⅲ</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资料复杂，需进行汇集、整理、分析、检查和取舍，数据处理工作量大</w:t>
            </w:r>
          </w:p>
        </w:tc>
      </w:tr>
      <w:tr>
        <w:tblPrEx>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981" w:type="dxa"/>
            <w:tcBorders>
              <w:top w:val="nil"/>
              <w:left w:val="nil"/>
              <w:bottom w:val="nil"/>
              <w:right w:val="nil"/>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6733" w:type="dxa"/>
            <w:tcBorders>
              <w:top w:val="nil"/>
              <w:left w:val="nil"/>
              <w:bottom w:val="nil"/>
              <w:right w:val="nil"/>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项目名称：</w:t>
            </w:r>
          </w:p>
        </w:tc>
        <w:tc>
          <w:tcPr>
            <w:tcW w:w="12714"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1：2000—1：500平板仪测图，野外地形数据采集及成图（DLG），地籍测绘，房产测绘</w:t>
            </w: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bdr w:val="single" w:color="000000" w:sz="4" w:space="0"/>
                <w:lang w:val="en-US" w:eastAsia="zh-CN" w:bidi="ar"/>
                <w14:textFill>
                  <w14:solidFill>
                    <w14:schemeClr w14:val="tx1"/>
                  </w14:solidFill>
                </w14:textFill>
              </w:rPr>
              <w:drawing>
                <wp:anchor distT="0" distB="0" distL="114300" distR="114300" simplePos="0" relativeHeight="251658240" behindDoc="0" locked="0" layoutInCell="1" allowOverlap="1">
                  <wp:simplePos x="0" y="0"/>
                  <wp:positionH relativeFrom="column">
                    <wp:posOffset>38100</wp:posOffset>
                  </wp:positionH>
                  <wp:positionV relativeFrom="paragraph">
                    <wp:posOffset>22225</wp:posOffset>
                  </wp:positionV>
                  <wp:extent cx="619125" cy="171450"/>
                  <wp:effectExtent l="0" t="0" r="9525" b="0"/>
                  <wp:wrapNone/>
                  <wp:docPr id="4" name="直接连接符_1"/>
                  <wp:cNvGraphicFramePr/>
                  <a:graphic xmlns:a="http://schemas.openxmlformats.org/drawingml/2006/main">
                    <a:graphicData uri="http://schemas.openxmlformats.org/drawingml/2006/picture">
                      <pic:pic xmlns:pic="http://schemas.openxmlformats.org/drawingml/2006/picture">
                        <pic:nvPicPr>
                          <pic:cNvPr id="4" name="直接连接符_1"/>
                          <pic:cNvPicPr/>
                        </pic:nvPicPr>
                        <pic:blipFill>
                          <a:blip r:embed="rId7"/>
                          <a:stretch>
                            <a:fillRect/>
                          </a:stretch>
                        </pic:blipFill>
                        <pic:spPr>
                          <a:xfrm>
                            <a:off x="0" y="0"/>
                            <a:ext cx="619125" cy="171450"/>
                          </a:xfrm>
                          <a:prstGeom prst="rect">
                            <a:avLst/>
                          </a:prstGeom>
                          <a:noFill/>
                          <a:ln>
                            <a:noFill/>
                          </a:ln>
                        </pic:spPr>
                      </pic:pic>
                    </a:graphicData>
                  </a:graphic>
                </wp:anchor>
              </w:drawing>
            </w:r>
          </w:p>
        </w:tc>
        <w:tc>
          <w:tcPr>
            <w:tcW w:w="5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一般地区</w:t>
            </w:r>
          </w:p>
        </w:tc>
        <w:tc>
          <w:tcPr>
            <w:tcW w:w="6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建筑与工业区</w:t>
            </w:r>
          </w:p>
        </w:tc>
      </w:tr>
      <w:tr>
        <w:tblPrEx>
          <w:shd w:val="clear" w:color="auto" w:fill="auto"/>
          <w:tblLayout w:type="fixed"/>
          <w:tblCellMar>
            <w:top w:w="0" w:type="dxa"/>
            <w:left w:w="0" w:type="dxa"/>
            <w:bottom w:w="0" w:type="dxa"/>
            <w:right w:w="0" w:type="dxa"/>
          </w:tblCellMar>
        </w:tblPrEx>
        <w:trPr>
          <w:trHeight w:val="108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Ⅰ</w:t>
            </w:r>
          </w:p>
        </w:tc>
        <w:tc>
          <w:tcPr>
            <w:tcW w:w="5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1.地面平坦，一般坡度在2度左右，通行通视条件好的地区；或地面起伏不大的丘陵地。2.地物较少，道路、水系简单，树林、竹林占图面10%以内局部隐蔽的地区</w:t>
            </w:r>
          </w:p>
        </w:tc>
        <w:tc>
          <w:tcPr>
            <w:tcW w:w="6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1.地面平坦，或局部有起伏，一般坡度在2度以内，通行方便。2.房屋建筑占图面35%以内，排列整齐的城镇，工矿区。</w:t>
            </w:r>
          </w:p>
        </w:tc>
      </w:tr>
      <w:tr>
        <w:tblPrEx>
          <w:shd w:val="clear" w:color="auto" w:fill="auto"/>
          <w:tblLayout w:type="fixed"/>
          <w:tblCellMar>
            <w:top w:w="0" w:type="dxa"/>
            <w:left w:w="0" w:type="dxa"/>
            <w:bottom w:w="0" w:type="dxa"/>
            <w:right w:w="0" w:type="dxa"/>
          </w:tblCellMar>
        </w:tblPrEx>
        <w:trPr>
          <w:trHeight w:val="81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Ⅱ</w:t>
            </w:r>
          </w:p>
        </w:tc>
        <w:tc>
          <w:tcPr>
            <w:tcW w:w="5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1.地面起伏不大，地貌较完整的山地或地貌切割较强烈的丘陵地。2.居民地占图面10%以内，地物较多，树林、竹林覆盖面积占图面10-40%的地区。</w:t>
            </w:r>
          </w:p>
        </w:tc>
        <w:tc>
          <w:tcPr>
            <w:tcW w:w="6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1.地面起伏较大，一般坡度在2至10度的地区。2.房屋建筑占图面35%-50%，房屋排列不太整齐地区。</w:t>
            </w:r>
          </w:p>
        </w:tc>
      </w:tr>
      <w:tr>
        <w:tblPrEx>
          <w:shd w:val="clear" w:color="auto" w:fill="auto"/>
          <w:tblLayout w:type="fixed"/>
          <w:tblCellMar>
            <w:top w:w="0" w:type="dxa"/>
            <w:left w:w="0" w:type="dxa"/>
            <w:bottom w:w="0" w:type="dxa"/>
            <w:right w:w="0" w:type="dxa"/>
          </w:tblCellMar>
        </w:tblPrEx>
        <w:trPr>
          <w:trHeight w:val="108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Ⅲ</w:t>
            </w:r>
          </w:p>
        </w:tc>
        <w:tc>
          <w:tcPr>
            <w:tcW w:w="5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1.地貌切割较强烈的地区，或通行困难的沼泽地区。2.居民地占图面10%以上，地物复杂，道路、水系发达的地区；或树林、竹林覆盖面积占图面40%以上的隐蔽地区。</w:t>
            </w:r>
          </w:p>
        </w:tc>
        <w:tc>
          <w:tcPr>
            <w:tcW w:w="6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1.地面起伏变化很大，一般坡度在10度以上的地区。2.房屋建筑占图面50%以上，房屋排列杂乱的地区。</w:t>
            </w: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p>
            <w:pP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p>
            <w:pP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5981"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项目名称：</w:t>
            </w:r>
          </w:p>
        </w:tc>
        <w:tc>
          <w:tcPr>
            <w:tcW w:w="59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野外地形数据采集成图（DEM）</w:t>
            </w: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类别</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               区</w:t>
            </w:r>
          </w:p>
        </w:tc>
      </w:tr>
      <w:tr>
        <w:tblPrEx>
          <w:shd w:val="clear" w:color="auto" w:fill="auto"/>
          <w:tblLayout w:type="fixed"/>
          <w:tblCellMar>
            <w:top w:w="0" w:type="dxa"/>
            <w:left w:w="0" w:type="dxa"/>
            <w:bottom w:w="0" w:type="dxa"/>
            <w:right w:w="0" w:type="dxa"/>
          </w:tblCellMar>
        </w:tblPrEx>
        <w:trPr>
          <w:trHeight w:val="66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Ⅰ</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1.地面平坦，地域开阔，通视条件好，比高在20m以内的平地、丘陵地；或破碎地貌占图面5%以内的地区。2.房屋和高杆植物分散，面积小于10%，以及水系简单，不成网状的地区。</w:t>
            </w:r>
          </w:p>
        </w:tc>
      </w:tr>
      <w:tr>
        <w:tblPrEx>
          <w:tblLayout w:type="fixed"/>
          <w:tblCellMar>
            <w:top w:w="0" w:type="dxa"/>
            <w:left w:w="0" w:type="dxa"/>
            <w:bottom w:w="0" w:type="dxa"/>
            <w:right w:w="0" w:type="dxa"/>
          </w:tblCellMar>
        </w:tblPrEx>
        <w:trPr>
          <w:trHeight w:val="66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Ⅱ</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1.地面起伏较大，通视条件较差，比高在20-80m的丘陵地；或破碎地貌等占图面5-20%的度地区。2.房屋和高杆植物较多，占图画10-20%，以及水系复杂，防洪堤坝多的地区。</w:t>
            </w:r>
          </w:p>
        </w:tc>
      </w:tr>
      <w:tr>
        <w:tblPrEx>
          <w:tblLayout w:type="fixed"/>
          <w:tblCellMar>
            <w:top w:w="0" w:type="dxa"/>
            <w:left w:w="0" w:type="dxa"/>
            <w:bottom w:w="0" w:type="dxa"/>
            <w:right w:w="0" w:type="dxa"/>
          </w:tblCellMar>
        </w:tblPrEx>
        <w:trPr>
          <w:trHeight w:val="66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Ⅲ</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1.地面起伏大，通视条件困难，比高大于80m的丘陵地，山地；或破碎地貌等占图面20%以上的地区。2.房屋和高杆植物多，占图面20%以上。</w:t>
            </w: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981"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项目名称：</w:t>
            </w:r>
          </w:p>
        </w:tc>
        <w:tc>
          <w:tcPr>
            <w:tcW w:w="59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工程测量中的其它控制测量</w:t>
            </w: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（一）</w:t>
            </w:r>
          </w:p>
        </w:tc>
        <w:tc>
          <w:tcPr>
            <w:tcW w:w="59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三角、小三角选点</w:t>
            </w: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类别</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               区</w:t>
            </w:r>
          </w:p>
        </w:tc>
      </w:tr>
      <w:tr>
        <w:tblPrEx>
          <w:tblLayout w:type="fixed"/>
          <w:tblCellMar>
            <w:top w:w="0" w:type="dxa"/>
            <w:left w:w="0" w:type="dxa"/>
            <w:bottom w:w="0" w:type="dxa"/>
            <w:right w:w="0" w:type="dxa"/>
          </w:tblCellMar>
        </w:tblPrEx>
        <w:trPr>
          <w:trHeight w:val="62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Ⅰ</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地域开阔，交通便利，可以丛地面直接通视。</w:t>
            </w:r>
          </w:p>
        </w:tc>
      </w:tr>
      <w:tr>
        <w:tblPrEx>
          <w:shd w:val="clear" w:color="auto" w:fill="auto"/>
          <w:tblLayout w:type="fixed"/>
          <w:tblCellMar>
            <w:top w:w="0" w:type="dxa"/>
            <w:left w:w="0" w:type="dxa"/>
            <w:bottom w:w="0" w:type="dxa"/>
            <w:right w:w="0" w:type="dxa"/>
          </w:tblCellMar>
        </w:tblPrEx>
        <w:trPr>
          <w:trHeight w:val="62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Ⅱ</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一般建筑区或起伏平缓的半隐蔽地带，通行通视条件困难，少数观测方向需采取攀高，立高杆等措施。</w:t>
            </w:r>
          </w:p>
        </w:tc>
      </w:tr>
      <w:tr>
        <w:tblPrEx>
          <w:shd w:val="clear" w:color="auto" w:fill="auto"/>
          <w:tblLayout w:type="fixed"/>
          <w:tblCellMar>
            <w:top w:w="0" w:type="dxa"/>
            <w:left w:w="0" w:type="dxa"/>
            <w:bottom w:w="0" w:type="dxa"/>
            <w:right w:w="0" w:type="dxa"/>
          </w:tblCellMar>
        </w:tblPrEx>
        <w:trPr>
          <w:trHeight w:val="62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Ⅲ</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山地、林地、湿地、沙地、荒草地或建筑物密集的城市中心地带，通行困难，多数方向隐蔽需采取砍伐，攀高，立高杆或借助回照设备反复寻找点位，技术条件复杂，设计方案多变。</w:t>
            </w: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981"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（二）</w:t>
            </w:r>
          </w:p>
        </w:tc>
        <w:tc>
          <w:tcPr>
            <w:tcW w:w="59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水准、导线</w:t>
            </w: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7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类别</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               区</w:t>
            </w:r>
          </w:p>
        </w:tc>
      </w:tr>
      <w:tr>
        <w:tblPrEx>
          <w:shd w:val="clear" w:color="auto" w:fill="auto"/>
          <w:tblLayout w:type="fixed"/>
          <w:tblCellMar>
            <w:top w:w="0" w:type="dxa"/>
            <w:left w:w="0" w:type="dxa"/>
            <w:bottom w:w="0" w:type="dxa"/>
            <w:right w:w="0" w:type="dxa"/>
          </w:tblCellMar>
        </w:tblPrEx>
        <w:trPr>
          <w:trHeight w:val="46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Ⅰ</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线路通过城市郊区平坦公路，通视良好，通行方便。</w:t>
            </w:r>
          </w:p>
        </w:tc>
      </w:tr>
      <w:tr>
        <w:tblPrEx>
          <w:shd w:val="clear" w:color="auto" w:fill="auto"/>
          <w:tblLayout w:type="fixed"/>
          <w:tblCellMar>
            <w:top w:w="0" w:type="dxa"/>
            <w:left w:w="0" w:type="dxa"/>
            <w:bottom w:w="0" w:type="dxa"/>
            <w:right w:w="0" w:type="dxa"/>
          </w:tblCellMar>
        </w:tblPrEx>
        <w:trPr>
          <w:trHeight w:val="731"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Ⅱ</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线路沿着有起伏、有障碍或半隐蔽地带的铁路、大车路、乡村路以及丛城市一般街道通过，通行通视条件较困难。</w:t>
            </w:r>
          </w:p>
        </w:tc>
      </w:tr>
      <w:tr>
        <w:tblPrEx>
          <w:shd w:val="clear" w:color="auto" w:fill="auto"/>
          <w:tblLayout w:type="fixed"/>
          <w:tblCellMar>
            <w:top w:w="0" w:type="dxa"/>
            <w:left w:w="0" w:type="dxa"/>
            <w:bottom w:w="0" w:type="dxa"/>
            <w:right w:w="0" w:type="dxa"/>
          </w:tblCellMar>
        </w:tblPrEx>
        <w:trPr>
          <w:trHeight w:val="662"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Ⅲ</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线路通过隐蔽林带或山地、湿地、河流、水网地带的小径及城市密集的街巷，通行通视条件困难，点位选择收到多方条件限制。</w:t>
            </w: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981"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（三）</w:t>
            </w:r>
          </w:p>
        </w:tc>
        <w:tc>
          <w:tcPr>
            <w:tcW w:w="59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造标、埋石</w:t>
            </w: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类别</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               区</w:t>
            </w:r>
          </w:p>
        </w:tc>
      </w:tr>
      <w:tr>
        <w:tblPrEx>
          <w:shd w:val="clear" w:color="auto" w:fill="auto"/>
          <w:tblLayout w:type="fixed"/>
          <w:tblCellMar>
            <w:top w:w="0" w:type="dxa"/>
            <w:left w:w="0" w:type="dxa"/>
            <w:bottom w:w="0" w:type="dxa"/>
            <w:right w:w="0" w:type="dxa"/>
          </w:tblCellMar>
        </w:tblPrEx>
        <w:trPr>
          <w:trHeight w:val="54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Ⅰ</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土质松软，觇标、标石构造简易，材料工具能直接运到点上，交通方便。</w:t>
            </w:r>
          </w:p>
        </w:tc>
      </w:tr>
      <w:tr>
        <w:tblPrEx>
          <w:shd w:val="clear" w:color="auto" w:fill="auto"/>
          <w:tblLayout w:type="fixed"/>
          <w:tblCellMar>
            <w:top w:w="0" w:type="dxa"/>
            <w:left w:w="0" w:type="dxa"/>
            <w:bottom w:w="0" w:type="dxa"/>
            <w:right w:w="0" w:type="dxa"/>
          </w:tblCellMar>
        </w:tblPrEx>
        <w:trPr>
          <w:trHeight w:val="70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Ⅱ</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土质坚硬或粘度大，地下水位高，挖坑有一定困难，标石、觇标建造难度较大，埋石深度略大于规范一般规定，材料工具只能运到点位附件，须作短距离人工搬运或在砂石路面和一般建筑物上建造标志，交通较困难。</w:t>
            </w:r>
          </w:p>
        </w:tc>
      </w:tr>
      <w:tr>
        <w:tblPrEx>
          <w:shd w:val="clear" w:color="auto" w:fill="auto"/>
          <w:tblLayout w:type="fixed"/>
          <w:tblCellMar>
            <w:top w:w="0" w:type="dxa"/>
            <w:left w:w="0" w:type="dxa"/>
            <w:bottom w:w="0" w:type="dxa"/>
            <w:right w:w="0" w:type="dxa"/>
          </w:tblCellMar>
        </w:tblPrEx>
        <w:trPr>
          <w:trHeight w:val="70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Ⅲ</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材料工具须作长距离人工搬运，在岩石、流沙、深冻土地带或在坚硬铺装路面和高层建筑物上建造标志、觇标、标石建造难度大，交通困难。</w:t>
            </w:r>
          </w:p>
        </w:tc>
      </w:tr>
      <w:tr>
        <w:tblPrEx>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981"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（四）</w:t>
            </w:r>
          </w:p>
        </w:tc>
        <w:tc>
          <w:tcPr>
            <w:tcW w:w="59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三角观测</w:t>
            </w: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类别</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               区</w:t>
            </w:r>
          </w:p>
        </w:tc>
      </w:tr>
      <w:tr>
        <w:tblPrEx>
          <w:tblLayout w:type="fixed"/>
          <w:tblCellMar>
            <w:top w:w="0" w:type="dxa"/>
            <w:left w:w="0" w:type="dxa"/>
            <w:bottom w:w="0" w:type="dxa"/>
            <w:right w:w="0" w:type="dxa"/>
          </w:tblCellMar>
        </w:tblPrEx>
        <w:trPr>
          <w:trHeight w:val="58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Ⅰ</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地形有利，通视条件好，边长均匀，成像清晰问丁，交通方便。</w:t>
            </w:r>
          </w:p>
        </w:tc>
      </w:tr>
      <w:tr>
        <w:tblPrEx>
          <w:shd w:val="clear" w:color="auto" w:fill="auto"/>
          <w:tblLayout w:type="fixed"/>
          <w:tblCellMar>
            <w:top w:w="0" w:type="dxa"/>
            <w:left w:w="0" w:type="dxa"/>
            <w:bottom w:w="0" w:type="dxa"/>
            <w:right w:w="0" w:type="dxa"/>
          </w:tblCellMar>
        </w:tblPrEx>
        <w:trPr>
          <w:trHeight w:val="72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Ⅱ</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地形不利，方向较多，通视条件较好，成像稳定性较差，在仪器台或易于攀登的建筑物上设站，工作稍有干扰，交通不便。</w:t>
            </w:r>
          </w:p>
        </w:tc>
      </w:tr>
      <w:tr>
        <w:tblPrEx>
          <w:shd w:val="clear" w:color="auto" w:fill="auto"/>
          <w:tblLayout w:type="fixed"/>
          <w:tblCellMar>
            <w:top w:w="0" w:type="dxa"/>
            <w:left w:w="0" w:type="dxa"/>
            <w:bottom w:w="0" w:type="dxa"/>
            <w:right w:w="0" w:type="dxa"/>
          </w:tblCellMar>
        </w:tblPrEx>
        <w:trPr>
          <w:trHeight w:val="56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Ⅲ</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在高山、高标、水塔或难于攀登的建筑物上设塔，通视条件不好或使用回照设备，交通困难，工作受到干扰大。</w:t>
            </w: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（五）</w:t>
            </w:r>
          </w:p>
        </w:tc>
        <w:tc>
          <w:tcPr>
            <w:tcW w:w="59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pP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水准、导线观测</w:t>
            </w: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类别</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               区</w:t>
            </w:r>
          </w:p>
        </w:tc>
      </w:tr>
      <w:tr>
        <w:tblPrEx>
          <w:shd w:val="clear" w:color="auto" w:fill="auto"/>
          <w:tblLayout w:type="fixed"/>
          <w:tblCellMar>
            <w:top w:w="0" w:type="dxa"/>
            <w:left w:w="0" w:type="dxa"/>
            <w:bottom w:w="0" w:type="dxa"/>
            <w:right w:w="0" w:type="dxa"/>
          </w:tblCellMar>
        </w:tblPrEx>
        <w:trPr>
          <w:trHeight w:val="354"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Ⅰ</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路线沿平坦大道通过，无干扰，水准平均每公里设站不超过15站。</w:t>
            </w:r>
          </w:p>
        </w:tc>
      </w:tr>
      <w:tr>
        <w:tblPrEx>
          <w:shd w:val="clear" w:color="auto" w:fill="auto"/>
          <w:tblLayout w:type="fixed"/>
          <w:tblCellMar>
            <w:top w:w="0" w:type="dxa"/>
            <w:left w:w="0" w:type="dxa"/>
            <w:bottom w:w="0" w:type="dxa"/>
            <w:right w:w="0" w:type="dxa"/>
          </w:tblCellMar>
        </w:tblPrEx>
        <w:trPr>
          <w:trHeight w:val="574"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Ⅱ</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路线沿一般街道、铁路、乡村路、河岸、农田草地边缘或干扰、障碍不大的地带通过，通行不便，地面有起伏，水准平均每公里设站不超过25站。</w:t>
            </w:r>
          </w:p>
        </w:tc>
      </w:tr>
      <w:tr>
        <w:tblPrEx>
          <w:shd w:val="clear" w:color="auto" w:fill="auto"/>
          <w:tblLayout w:type="fixed"/>
          <w:tblCellMar>
            <w:top w:w="0" w:type="dxa"/>
            <w:left w:w="0" w:type="dxa"/>
            <w:bottom w:w="0" w:type="dxa"/>
            <w:right w:w="0" w:type="dxa"/>
          </w:tblCellMar>
        </w:tblPrEx>
        <w:trPr>
          <w:trHeight w:val="404"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Ⅲ</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路线通过行人车辆繁杂的市区、工矿区或河流、水网、丘陵、林带等崎岖小径，通行困难，有的地方需打尺桩，水准平均每公里设站25站以上。</w:t>
            </w: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981"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项目名称：</w:t>
            </w:r>
          </w:p>
        </w:tc>
        <w:tc>
          <w:tcPr>
            <w:tcW w:w="59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工程控制测量中的GPS测量</w:t>
            </w: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类别</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               区</w:t>
            </w:r>
          </w:p>
        </w:tc>
      </w:tr>
      <w:tr>
        <w:tblPrEx>
          <w:tblLayout w:type="fixed"/>
          <w:tblCellMar>
            <w:top w:w="0" w:type="dxa"/>
            <w:left w:w="0" w:type="dxa"/>
            <w:bottom w:w="0" w:type="dxa"/>
            <w:right w:w="0" w:type="dxa"/>
          </w:tblCellMar>
        </w:tblPrEx>
        <w:trPr>
          <w:trHeight w:val="34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Ⅰ</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地面平坦，无建筑物、构筑物、距已知点不远，接收信号的条件良好。</w:t>
            </w: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Ⅱ</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地域较开阔的低丘陵地带，有少量植被和数目，不影响接收角度，距已知点较远；或城镇的较宽阔地带，行人车辆数少，通行方便，能满足接收信号的条件。</w:t>
            </w:r>
          </w:p>
        </w:tc>
      </w:tr>
      <w:tr>
        <w:tblPrEx>
          <w:tblLayout w:type="fixed"/>
          <w:tblCellMar>
            <w:top w:w="0" w:type="dxa"/>
            <w:left w:w="0" w:type="dxa"/>
            <w:bottom w:w="0" w:type="dxa"/>
            <w:right w:w="0" w:type="dxa"/>
          </w:tblCellMar>
        </w:tblPrEx>
        <w:trPr>
          <w:trHeight w:val="34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Ⅲ</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森林覆盖面积较大的山区，以及地物较多的山麓、河湖旁、道路两侧，接收信号的条件不好；或城市内行人车辆来往频繁，高楼林立，街道狭窄，高大树木较多，影响接收信号。</w:t>
            </w: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981"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项目名称：</w:t>
            </w:r>
          </w:p>
        </w:tc>
        <w:tc>
          <w:tcPr>
            <w:tcW w:w="59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管线测量</w:t>
            </w: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（一）</w:t>
            </w:r>
          </w:p>
        </w:tc>
        <w:tc>
          <w:tcPr>
            <w:tcW w:w="59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管线竣工图测量</w:t>
            </w: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类别</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               区</w:t>
            </w: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Ⅰ</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长度在2-5公里以上的管线体，地面平坦，通行方便。</w:t>
            </w: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Ⅱ</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长度在1公里以上，但现场是分段逐渐施工，同时管径在1m以上的大型直埋管线体。</w:t>
            </w: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Ⅲ</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长度在0.05-0.1公里之内的管线体，沟中有两种以上不同的管线，代井，需调查井的管线体。</w:t>
            </w:r>
          </w:p>
        </w:tc>
      </w:tr>
      <w:tr>
        <w:tblPrEx>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981"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981"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项目名称：</w:t>
            </w:r>
          </w:p>
        </w:tc>
        <w:tc>
          <w:tcPr>
            <w:tcW w:w="59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滩涂测量</w:t>
            </w: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类别</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               区</w:t>
            </w:r>
          </w:p>
        </w:tc>
      </w:tr>
      <w:tr>
        <w:tblPrEx>
          <w:tblLayout w:type="fixed"/>
          <w:tblCellMar>
            <w:top w:w="0" w:type="dxa"/>
            <w:left w:w="0" w:type="dxa"/>
            <w:bottom w:w="0" w:type="dxa"/>
            <w:right w:w="0" w:type="dxa"/>
          </w:tblCellMar>
        </w:tblPrEx>
        <w:trPr>
          <w:trHeight w:val="90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Ⅰ</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干出滩为易于通行的平缓沙质滩、贝壳养殖滩。2.海岸开阔，植被覆盖少，通视好。3.水深在5m以内，流速在1.0m/s以内，非网箱养殖和地网捕捞区，无摸浅工作，可用小艇、木船或皮筏作业。4.潮差在3.0m以内，作业期波高在0.2m以内。5.无作业船只避让。</w:t>
            </w:r>
          </w:p>
        </w:tc>
      </w:tr>
      <w:tr>
        <w:tblPrEx>
          <w:shd w:val="clear" w:color="auto" w:fill="auto"/>
          <w:tblLayout w:type="fixed"/>
          <w:tblCellMar>
            <w:top w:w="0" w:type="dxa"/>
            <w:left w:w="0" w:type="dxa"/>
            <w:bottom w:w="0" w:type="dxa"/>
            <w:right w:w="0" w:type="dxa"/>
          </w:tblCellMar>
        </w:tblPrEx>
        <w:trPr>
          <w:trHeight w:val="104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Ⅱ</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干出滩为通行较困难的磊石滩、泥滩。2.岸边建筑物、堆积物较多，有低于1.5m的围墙防汛堤，或有部分防护林带，通视较困难。3.水深在5m以内，流速在2.0m/s以内，礁石较多，有摸浅工作，部分可由小艇、木船、皮筏作业。4.潮差在3.0-4.0m以内，作业期波高在0.2-0.3m以内。5.作业船只避让不超过工作时间的10%。</w:t>
            </w:r>
          </w:p>
        </w:tc>
      </w:tr>
      <w:tr>
        <w:tblPrEx>
          <w:shd w:val="clear" w:color="auto" w:fill="auto"/>
          <w:tblLayout w:type="fixed"/>
          <w:tblCellMar>
            <w:top w:w="0" w:type="dxa"/>
            <w:left w:w="0" w:type="dxa"/>
            <w:bottom w:w="0" w:type="dxa"/>
            <w:right w:w="0" w:type="dxa"/>
          </w:tblCellMar>
        </w:tblPrEx>
        <w:trPr>
          <w:trHeight w:val="112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Ⅲ</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干出滩为通行困难的淤泥滩、岩石滩、珊瑚滩或灌木滩。2.岸边建筑物、堆积物多，有高于1.5m的围墙及防波堤，或有密集的防护林带，海滩有大片植被覆盖，通视困难。3.水深在5m以内，流速在2.0m/s以上，礁石多，摸浅工作占50%以上，或网箱养殖，地网捕捞区，不易用小艇、木船作业。4.潮差在大于4.0m，作业期波高超过0.3m。5.作业船只避让期超过工作时间的10%。</w:t>
            </w: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981"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项目名称：</w:t>
            </w:r>
          </w:p>
        </w:tc>
        <w:tc>
          <w:tcPr>
            <w:tcW w:w="59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河湖测量</w:t>
            </w: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类别</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               区</w:t>
            </w:r>
          </w:p>
        </w:tc>
      </w:tr>
      <w:tr>
        <w:tblPrEx>
          <w:shd w:val="clear" w:color="auto" w:fill="auto"/>
          <w:tblLayout w:type="fixed"/>
          <w:tblCellMar>
            <w:top w:w="0" w:type="dxa"/>
            <w:left w:w="0" w:type="dxa"/>
            <w:bottom w:w="0" w:type="dxa"/>
            <w:right w:w="0" w:type="dxa"/>
          </w:tblCellMar>
        </w:tblPrEx>
        <w:trPr>
          <w:trHeight w:val="90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Ⅰ</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1.河宽在400-1000米，水深在20米以内，流速在1.5米/秒以内，可通行或大部分通行小马力机动船，小部分浅滩可通小艇，岸边通视较好，来往船只不多。</w:t>
            </w:r>
          </w:p>
        </w:tc>
      </w:tr>
      <w:tr>
        <w:tblPrEx>
          <w:shd w:val="clear" w:color="auto" w:fill="auto"/>
          <w:tblLayout w:type="fixed"/>
          <w:tblCellMar>
            <w:top w:w="0" w:type="dxa"/>
            <w:left w:w="0" w:type="dxa"/>
            <w:bottom w:w="0" w:type="dxa"/>
            <w:right w:w="0" w:type="dxa"/>
          </w:tblCellMar>
        </w:tblPrEx>
        <w:trPr>
          <w:trHeight w:val="90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Ⅱ</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河宽在200-400m或湖泊、河口宽度1000米以上，水深在30米以内，流速在2米/秒以内，可通小马力机动船，有部分浅滩可通小艇，岸边通视较差，来往船只频繁或测区内停留的船、竹、木排较多。2.河宽在100-200米，流速在1米/秒以内的平原及丘陵地区河流。3.河流湖泊宽400米以上，在冰冻期间作业。</w:t>
            </w:r>
          </w:p>
        </w:tc>
      </w:tr>
      <w:tr>
        <w:tblPrEx>
          <w:shd w:val="clear" w:color="auto" w:fill="auto"/>
          <w:tblLayout w:type="fixed"/>
          <w:tblCellMar>
            <w:top w:w="0" w:type="dxa"/>
            <w:left w:w="0" w:type="dxa"/>
            <w:bottom w:w="0" w:type="dxa"/>
            <w:right w:w="0" w:type="dxa"/>
          </w:tblCellMar>
        </w:tblPrEx>
        <w:trPr>
          <w:trHeight w:val="122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Ⅲ</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河宽200米以内，流速在2.5米/秒以内，有部分浅滩，但可用小艇、木船或皮筏作业，两岸建筑物或树林较高，通视较困难。2.河宽在100米以内，流速在2.5米/秒以上，险滩，礁石较多，大部分河段可用小艇、木船或皮筏作业，但小部分河段需假设索道用吊锤测深，两岸陡峻或树林密集，通行通视困难。3.河宽在400米以内，在冰冻期间作业的。</w:t>
            </w:r>
          </w:p>
        </w:tc>
      </w:tr>
      <w:tr>
        <w:tblPrEx>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981"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0" w:hRule="atLeast"/>
        </w:trPr>
        <w:tc>
          <w:tcPr>
            <w:tcW w:w="1266"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项目名称：</w:t>
            </w:r>
          </w:p>
        </w:tc>
        <w:tc>
          <w:tcPr>
            <w:tcW w:w="5981"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河道断面测量</w:t>
            </w:r>
          </w:p>
        </w:tc>
        <w:tc>
          <w:tcPr>
            <w:tcW w:w="6733" w:type="dxa"/>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7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类别</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               区</w:t>
            </w:r>
          </w:p>
        </w:tc>
      </w:tr>
      <w:tr>
        <w:tblPrEx>
          <w:tblLayout w:type="fixed"/>
          <w:tblCellMar>
            <w:top w:w="0" w:type="dxa"/>
            <w:left w:w="0" w:type="dxa"/>
            <w:bottom w:w="0" w:type="dxa"/>
            <w:right w:w="0" w:type="dxa"/>
          </w:tblCellMar>
        </w:tblPrEx>
        <w:trPr>
          <w:trHeight w:val="54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Ⅰ</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地面有起伏，隐蔽区达10%左右，交通较方便，水深在2米以内，大部分地方不能徒涉，流速不大，可用小船作业。</w:t>
            </w:r>
          </w:p>
        </w:tc>
      </w:tr>
      <w:tr>
        <w:tblPrEx>
          <w:shd w:val="clear" w:color="auto" w:fill="auto"/>
          <w:tblLayout w:type="fixed"/>
          <w:tblCellMar>
            <w:top w:w="0" w:type="dxa"/>
            <w:left w:w="0" w:type="dxa"/>
            <w:bottom w:w="0" w:type="dxa"/>
            <w:right w:w="0" w:type="dxa"/>
          </w:tblCellMar>
        </w:tblPrEx>
        <w:trPr>
          <w:trHeight w:val="142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Ⅱ</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地面起伏较大，微地貌变化较多或隐蔽区达10-20%；河床较宽，流速在1米/秒以内，或有流动障碍物，但对小船作业影响不大；水深在1米一下，淤泥较深又不能用小船作业的地区。</w:t>
            </w:r>
          </w:p>
        </w:tc>
      </w:tr>
      <w:tr>
        <w:tblPrEx>
          <w:shd w:val="clear" w:color="auto" w:fill="auto"/>
          <w:tblLayout w:type="fixed"/>
          <w:tblCellMar>
            <w:top w:w="0" w:type="dxa"/>
            <w:left w:w="0" w:type="dxa"/>
            <w:bottom w:w="0" w:type="dxa"/>
            <w:right w:w="0" w:type="dxa"/>
          </w:tblCellMar>
        </w:tblPrEx>
        <w:trPr>
          <w:trHeight w:val="960" w:hRule="atLeast"/>
        </w:trPr>
        <w:tc>
          <w:tcPr>
            <w:tcW w:w="12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Ⅲ</w:t>
            </w:r>
          </w:p>
        </w:tc>
        <w:tc>
          <w:tcPr>
            <w:tcW w:w="127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地貌切割较深，坡度陡峻或沼泽区达20%；隐蔽区达20-30%通行较困难的地区；河道有分叉，流速在2米/秒以内，流动物多，水上作业比较困难的地段。2.地貌切割剧烈，悬崖绝壁多或沼泽地超过20%，隐蔽区超过30%，通行石份困难的地区；河流分叉较多，水流湍急，流速在2米/秒以上，在断面上测深十分困难的地段。</w:t>
            </w:r>
          </w:p>
        </w:tc>
      </w:tr>
    </w:tbl>
    <w:p>
      <w:pPr>
        <w:rPr>
          <w:rFonts w:hint="eastAsia" w:asciiTheme="minorEastAsia" w:hAnsiTheme="minorEastAsia" w:eastAsiaTheme="minorEastAsia" w:cstheme="minorEastAsia"/>
          <w:bCs w:val="0"/>
          <w:color w:val="000000" w:themeColor="text1"/>
          <w:kern w:val="0"/>
          <w:sz w:val="24"/>
          <w:szCs w:val="22"/>
          <w:highlight w:val="none"/>
          <w14:textFill>
            <w14:solidFill>
              <w14:schemeClr w14:val="tx1"/>
            </w14:solidFill>
          </w14:textFill>
        </w:rPr>
        <w:sectPr>
          <w:pgSz w:w="16838" w:h="11906" w:orient="landscape"/>
          <w:pgMar w:top="1800" w:right="1440" w:bottom="1800" w:left="144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p>
    <w:p>
      <w:pPr>
        <w:pStyle w:val="2"/>
        <w:bidi w:val="0"/>
        <w:jc w:val="center"/>
        <w:rPr>
          <w:rFonts w:hint="eastAsia"/>
          <w:color w:val="000000" w:themeColor="text1"/>
          <w:sz w:val="36"/>
          <w:szCs w:val="36"/>
          <w:highlight w:val="none"/>
          <w:lang w:val="en-US" w:eastAsia="zh-CN"/>
          <w14:textFill>
            <w14:solidFill>
              <w14:schemeClr w14:val="tx1"/>
            </w14:solidFill>
          </w14:textFill>
        </w:rPr>
      </w:pPr>
      <w:bookmarkStart w:id="17" w:name="_Toc27165"/>
      <w:r>
        <w:rPr>
          <w:rFonts w:hint="eastAsia"/>
          <w:color w:val="000000" w:themeColor="text1"/>
          <w:sz w:val="36"/>
          <w:szCs w:val="36"/>
          <w:highlight w:val="none"/>
          <w:lang w:val="en-US" w:eastAsia="zh-CN"/>
          <w14:textFill>
            <w14:solidFill>
              <w14:schemeClr w14:val="tx1"/>
            </w14:solidFill>
          </w14:textFill>
        </w:rPr>
        <w:t>第六章  工程质量检测费</w:t>
      </w:r>
      <w:bookmarkEnd w:id="17"/>
    </w:p>
    <w:p>
      <w:pPr>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pPr>
    </w:p>
    <w:p>
      <w:pPr>
        <w:numPr>
          <w:ilvl w:val="0"/>
          <w:numId w:val="55"/>
        </w:numPr>
        <w:ind w:left="0" w:leftChars="0" w:firstLine="42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工作内容：工程检测服务单位根据签订的协议以及国家、省有关建设工程质量检测管理的规定、技术标准和组批规则，对协议约定的检测范围、检测批次、检测数量的检测对象进行检测服务，并出具检测报告。</w:t>
      </w:r>
    </w:p>
    <w:p>
      <w:pPr>
        <w:numPr>
          <w:ilvl w:val="0"/>
          <w:numId w:val="55"/>
        </w:numPr>
        <w:ind w:left="0" w:leftChars="0" w:firstLine="42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适用范围：本市政府投资建设项目工程质量检测费的招标上限值（预算控制价）编、审依据。</w:t>
      </w:r>
    </w:p>
    <w:p>
      <w:pPr>
        <w:numPr>
          <w:ilvl w:val="0"/>
          <w:numId w:val="55"/>
        </w:numPr>
        <w:ind w:left="0" w:leftChars="0" w:firstLine="42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计费标准：见附件《长沙市政府投资项目建设工程质量检测计费项目和费标准汇总》。</w:t>
      </w:r>
    </w:p>
    <w:p>
      <w:pPr>
        <w:numPr>
          <w:ilvl w:val="0"/>
          <w:numId w:val="55"/>
        </w:numPr>
        <w:ind w:left="420" w:leftChars="200" w:firstLine="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其他说明：</w:t>
      </w:r>
    </w:p>
    <w:p>
      <w:pPr>
        <w:numPr>
          <w:ilvl w:val="0"/>
          <w:numId w:val="56"/>
        </w:numPr>
        <w:spacing w:line="500" w:lineRule="exact"/>
        <w:ind w:left="5" w:leftChars="0" w:hanging="5" w:firstLineChars="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建设工程质量检测服务费初次检测由建设方承担，初次检测不合格需再次检测的由施工方承担。</w:t>
      </w:r>
    </w:p>
    <w:p>
      <w:pPr>
        <w:numPr>
          <w:ilvl w:val="0"/>
          <w:numId w:val="56"/>
        </w:numPr>
        <w:spacing w:line="500" w:lineRule="exact"/>
        <w:ind w:left="5" w:leftChars="0" w:hanging="5" w:firstLineChars="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highlight w:val="none"/>
          <w:lang w:val="en-US" w:eastAsia="zh-CN"/>
          <w14:textFill>
            <w14:solidFill>
              <w14:schemeClr w14:val="tx1"/>
            </w14:solidFill>
          </w14:textFill>
        </w:rPr>
        <w:t>工程检测服务单位应具备建设工程质量检测资格和计量认证证书，并办理了工商登记的社会中介机构，接受委托后，应签订委托协议。</w:t>
      </w:r>
    </w:p>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
          <w:bCs/>
          <w:color w:val="000000" w:themeColor="text1"/>
          <w:sz w:val="22"/>
          <w:highlight w:val="none"/>
          <w14:textFill>
            <w14:solidFill>
              <w14:schemeClr w14:val="tx1"/>
            </w14:solidFill>
          </w14:textFill>
        </w:rPr>
      </w:pPr>
    </w:p>
    <w:p>
      <w:pPr>
        <w:rPr>
          <w:rFonts w:hint="eastAsia" w:asciiTheme="minorEastAsia" w:hAnsiTheme="minorEastAsia" w:eastAsiaTheme="minorEastAsia" w:cstheme="minorEastAsia"/>
          <w:b/>
          <w:bCs/>
          <w:color w:val="000000" w:themeColor="text1"/>
          <w:sz w:val="22"/>
          <w:highlight w:val="none"/>
          <w14:textFill>
            <w14:solidFill>
              <w14:schemeClr w14:val="tx1"/>
            </w14:solidFill>
          </w14:textFill>
        </w:rPr>
      </w:pPr>
    </w:p>
    <w:p>
      <w:pPr>
        <w:rPr>
          <w:rFonts w:hint="eastAsia" w:asciiTheme="minorEastAsia" w:hAnsiTheme="minorEastAsia" w:eastAsiaTheme="minorEastAsia" w:cstheme="minorEastAsia"/>
          <w:b/>
          <w:bCs/>
          <w:color w:val="000000" w:themeColor="text1"/>
          <w:sz w:val="22"/>
          <w:highlight w:val="none"/>
          <w14:textFill>
            <w14:solidFill>
              <w14:schemeClr w14:val="tx1"/>
            </w14:solidFill>
          </w14:textFill>
        </w:rPr>
      </w:pPr>
    </w:p>
    <w:p>
      <w:pPr>
        <w:rPr>
          <w:rFonts w:hint="eastAsia" w:asciiTheme="minorEastAsia" w:hAnsiTheme="minorEastAsia" w:eastAsiaTheme="minorEastAsia" w:cstheme="minorEastAsia"/>
          <w:b/>
          <w:bCs/>
          <w:color w:val="000000" w:themeColor="text1"/>
          <w:sz w:val="22"/>
          <w:highlight w:val="none"/>
          <w14:textFill>
            <w14:solidFill>
              <w14:schemeClr w14:val="tx1"/>
            </w14:solidFill>
          </w14:textFill>
        </w:rPr>
      </w:pPr>
    </w:p>
    <w:p>
      <w:pPr>
        <w:rPr>
          <w:rFonts w:hint="eastAsia" w:asciiTheme="minorEastAsia" w:hAnsiTheme="minorEastAsia" w:eastAsiaTheme="minorEastAsia" w:cstheme="minorEastAsia"/>
          <w:b/>
          <w:bCs/>
          <w:color w:val="000000" w:themeColor="text1"/>
          <w:sz w:val="22"/>
          <w:highlight w:val="none"/>
          <w14:textFill>
            <w14:solidFill>
              <w14:schemeClr w14:val="tx1"/>
            </w14:solidFill>
          </w14:textFill>
        </w:rPr>
      </w:pPr>
    </w:p>
    <w:p>
      <w:pPr>
        <w:rPr>
          <w:rFonts w:hint="eastAsia" w:asciiTheme="minorEastAsia" w:hAnsiTheme="minorEastAsia" w:eastAsiaTheme="minorEastAsia" w:cstheme="minorEastAsia"/>
          <w:b/>
          <w:bCs/>
          <w:color w:val="000000" w:themeColor="text1"/>
          <w:sz w:val="22"/>
          <w:highlight w:val="none"/>
          <w14:textFill>
            <w14:solidFill>
              <w14:schemeClr w14:val="tx1"/>
            </w14:solidFill>
          </w14:textFill>
        </w:rPr>
      </w:pPr>
    </w:p>
    <w:p>
      <w:pPr>
        <w:rPr>
          <w:rFonts w:hint="eastAsia" w:asciiTheme="minorEastAsia" w:hAnsiTheme="minorEastAsia" w:eastAsiaTheme="minorEastAsia" w:cstheme="minorEastAsia"/>
          <w:b/>
          <w:bCs/>
          <w:color w:val="000000" w:themeColor="text1"/>
          <w:sz w:val="22"/>
          <w:highlight w:val="none"/>
          <w14:textFill>
            <w14:solidFill>
              <w14:schemeClr w14:val="tx1"/>
            </w14:solidFill>
          </w14:textFill>
        </w:rPr>
      </w:pPr>
    </w:p>
    <w:p>
      <w:pPr>
        <w:numPr>
          <w:ilvl w:val="0"/>
          <w:numId w:val="0"/>
        </w:numPr>
        <w:spacing w:line="500" w:lineRule="exact"/>
        <w:rPr>
          <w:rFonts w:hint="eastAsia" w:asciiTheme="minorEastAsia" w:hAnsiTheme="minorEastAsia" w:eastAsiaTheme="minorEastAsia" w:cstheme="minorEastAsia"/>
          <w:b/>
          <w:bCs/>
          <w:color w:val="000000" w:themeColor="text1"/>
          <w:sz w:val="28"/>
          <w:highlight w:val="none"/>
          <w:lang w:val="en-US" w:eastAsia="zh-CN"/>
          <w14:textFill>
            <w14:solidFill>
              <w14:schemeClr w14:val="tx1"/>
            </w14:solidFill>
          </w14:textFill>
        </w:rPr>
      </w:pPr>
      <w:bookmarkStart w:id="18" w:name="_Toc30157"/>
      <w:bookmarkStart w:id="19" w:name="_Toc1401"/>
      <w:bookmarkStart w:id="20" w:name="_Toc2548_WPSOffice_Level1"/>
      <w:r>
        <w:rPr>
          <w:rFonts w:hint="eastAsia" w:asciiTheme="minorEastAsia" w:hAnsiTheme="minorEastAsia" w:eastAsiaTheme="minorEastAsia" w:cstheme="minorEastAsia"/>
          <w:b/>
          <w:bCs/>
          <w:color w:val="000000" w:themeColor="text1"/>
          <w:sz w:val="28"/>
          <w:highlight w:val="none"/>
          <w:lang w:val="en-US" w:eastAsia="zh-CN"/>
          <w14:textFill>
            <w14:solidFill>
              <w14:schemeClr w14:val="tx1"/>
            </w14:solidFill>
          </w14:textFill>
        </w:rPr>
        <w:t>附件</w:t>
      </w:r>
      <w:bookmarkEnd w:id="18"/>
      <w:bookmarkEnd w:id="19"/>
      <w:bookmarkEnd w:id="20"/>
    </w:p>
    <w:p>
      <w:pPr>
        <w:rPr>
          <w:rFonts w:hint="eastAsia" w:asciiTheme="minorEastAsia" w:hAnsiTheme="minorEastAsia" w:eastAsiaTheme="minorEastAsia" w:cstheme="minorEastAsia"/>
          <w:b/>
          <w:bCs/>
          <w:color w:val="000000" w:themeColor="text1"/>
          <w:sz w:val="22"/>
          <w:highlight w:val="none"/>
          <w14:textFill>
            <w14:solidFill>
              <w14:schemeClr w14:val="tx1"/>
            </w14:solidFill>
          </w14:textFill>
        </w:rPr>
      </w:pPr>
    </w:p>
    <w:p>
      <w:pPr>
        <w:rPr>
          <w:rFonts w:hint="eastAsia" w:asciiTheme="minorEastAsia" w:hAnsiTheme="minorEastAsia" w:eastAsiaTheme="minorEastAsia" w:cstheme="minorEastAsia"/>
          <w:bCs/>
          <w:color w:val="000000" w:themeColor="text1"/>
          <w:sz w:val="28"/>
          <w:szCs w:val="28"/>
          <w:highlight w:val="none"/>
          <w:shd w:val="clear" w:color="FFFFFF" w:fill="D9D9D9"/>
          <w14:textFill>
            <w14:solidFill>
              <w14:schemeClr w14:val="tx1"/>
            </w14:solidFill>
          </w14:textFill>
        </w:rPr>
      </w:pPr>
    </w:p>
    <w:tbl>
      <w:tblPr>
        <w:tblStyle w:val="11"/>
        <w:tblW w:w="8333" w:type="dxa"/>
        <w:tblInd w:w="0" w:type="dxa"/>
        <w:shd w:val="clear" w:color="auto" w:fill="auto"/>
        <w:tblLayout w:type="fixed"/>
        <w:tblCellMar>
          <w:top w:w="0" w:type="dxa"/>
          <w:left w:w="0" w:type="dxa"/>
          <w:bottom w:w="0" w:type="dxa"/>
          <w:right w:w="0" w:type="dxa"/>
        </w:tblCellMar>
      </w:tblPr>
      <w:tblGrid>
        <w:gridCol w:w="846"/>
        <w:gridCol w:w="750"/>
        <w:gridCol w:w="1199"/>
        <w:gridCol w:w="1503"/>
        <w:gridCol w:w="697"/>
        <w:gridCol w:w="1654"/>
        <w:gridCol w:w="1684"/>
      </w:tblGrid>
      <w:tr>
        <w:tblPrEx>
          <w:shd w:val="clear" w:color="auto" w:fill="auto"/>
          <w:tblLayout w:type="fixed"/>
          <w:tblCellMar>
            <w:top w:w="0" w:type="dxa"/>
            <w:left w:w="0" w:type="dxa"/>
            <w:bottom w:w="0" w:type="dxa"/>
            <w:right w:w="0" w:type="dxa"/>
          </w:tblCellMar>
        </w:tblPrEx>
        <w:trPr>
          <w:trHeight w:val="108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ascii="华文中宋" w:hAnsi="华文中宋" w:eastAsia="华文中宋" w:cs="华文中宋"/>
                <w:b/>
                <w:i w:val="0"/>
                <w:color w:val="000000" w:themeColor="text1"/>
                <w:kern w:val="0"/>
                <w:sz w:val="24"/>
                <w:szCs w:val="24"/>
                <w:highlight w:val="none"/>
                <w:u w:val="none"/>
                <w:lang w:val="en-US" w:eastAsia="zh-CN" w:bidi="ar"/>
                <w14:textFill>
                  <w14:solidFill>
                    <w14:schemeClr w14:val="tx1"/>
                  </w14:solidFill>
                </w14:textFill>
              </w:rPr>
              <w:t>序号</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ascii="华文中宋" w:hAnsi="华文中宋" w:eastAsia="华文中宋" w:cs="华文中宋"/>
                <w:b/>
                <w:i w:val="0"/>
                <w:color w:val="000000" w:themeColor="text1"/>
                <w:kern w:val="0"/>
                <w:sz w:val="24"/>
                <w:szCs w:val="24"/>
                <w:highlight w:val="none"/>
                <w:u w:val="none"/>
                <w:lang w:val="en-US" w:eastAsia="zh-CN" w:bidi="ar"/>
                <w14:textFill>
                  <w14:solidFill>
                    <w14:schemeClr w14:val="tx1"/>
                  </w14:solidFill>
                </w14:textFill>
              </w:rPr>
              <w:t>检</w:t>
            </w: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 xml:space="preserve">   </w:t>
            </w:r>
            <w:r>
              <w:rPr>
                <w:rFonts w:ascii="华文中宋" w:hAnsi="华文中宋" w:eastAsia="华文中宋" w:cs="华文中宋"/>
                <w:b/>
                <w:i w:val="0"/>
                <w:color w:val="000000" w:themeColor="text1"/>
                <w:kern w:val="0"/>
                <w:sz w:val="24"/>
                <w:szCs w:val="24"/>
                <w:highlight w:val="none"/>
                <w:u w:val="none"/>
                <w:lang w:val="en-US" w:eastAsia="zh-CN" w:bidi="ar"/>
                <w14:textFill>
                  <w14:solidFill>
                    <w14:schemeClr w14:val="tx1"/>
                  </w14:solidFill>
                </w14:textFill>
              </w:rPr>
              <w:t>测</w:t>
            </w: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 xml:space="preserve">   </w:t>
            </w:r>
            <w:r>
              <w:rPr>
                <w:rFonts w:ascii="华文中宋" w:hAnsi="华文中宋" w:eastAsia="华文中宋" w:cs="华文中宋"/>
                <w:b/>
                <w:i w:val="0"/>
                <w:color w:val="000000" w:themeColor="text1"/>
                <w:kern w:val="0"/>
                <w:sz w:val="24"/>
                <w:szCs w:val="24"/>
                <w:highlight w:val="none"/>
                <w:u w:val="none"/>
                <w:lang w:val="en-US" w:eastAsia="zh-CN" w:bidi="ar"/>
                <w14:textFill>
                  <w14:solidFill>
                    <w14:schemeClr w14:val="tx1"/>
                  </w14:solidFill>
                </w14:textFill>
              </w:rPr>
              <w:t>项</w:t>
            </w: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 xml:space="preserve">   </w:t>
            </w:r>
            <w:r>
              <w:rPr>
                <w:rFonts w:ascii="华文中宋" w:hAnsi="华文中宋" w:eastAsia="华文中宋" w:cs="华文中宋"/>
                <w:b/>
                <w:i w:val="0"/>
                <w:color w:val="000000" w:themeColor="text1"/>
                <w:kern w:val="0"/>
                <w:sz w:val="24"/>
                <w:szCs w:val="24"/>
                <w:highlight w:val="none"/>
                <w:u w:val="none"/>
                <w:lang w:val="en-US" w:eastAsia="zh-CN" w:bidi="ar"/>
                <w14:textFill>
                  <w14:solidFill>
                    <w14:schemeClr w14:val="tx1"/>
                  </w14:solidFill>
                </w14:textFill>
              </w:rPr>
              <w:t>目</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ascii="华文中宋" w:hAnsi="华文中宋" w:eastAsia="华文中宋" w:cs="华文中宋"/>
                <w:b/>
                <w:i w:val="0"/>
                <w:color w:val="000000" w:themeColor="text1"/>
                <w:kern w:val="0"/>
                <w:sz w:val="24"/>
                <w:szCs w:val="24"/>
                <w:highlight w:val="none"/>
                <w:u w:val="none"/>
                <w:lang w:val="en-US" w:eastAsia="zh-CN" w:bidi="ar"/>
                <w14:textFill>
                  <w14:solidFill>
                    <w14:schemeClr w14:val="tx1"/>
                  </w14:solidFill>
                </w14:textFill>
              </w:rPr>
              <w:t>计费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ascii="华文中宋" w:hAnsi="华文中宋" w:eastAsia="华文中宋" w:cs="华文中宋"/>
                <w:b/>
                <w:i w:val="0"/>
                <w:color w:val="000000" w:themeColor="text1"/>
                <w:kern w:val="0"/>
                <w:sz w:val="24"/>
                <w:szCs w:val="24"/>
                <w:highlight w:val="none"/>
                <w:u w:val="none"/>
                <w:lang w:val="en-US" w:eastAsia="zh-CN" w:bidi="ar"/>
                <w14:textFill>
                  <w14:solidFill>
                    <w14:schemeClr w14:val="tx1"/>
                  </w14:solidFill>
                </w14:textFill>
              </w:rPr>
              <w:t>收费标准</w:t>
            </w:r>
          </w:p>
        </w:tc>
        <w:tc>
          <w:tcPr>
            <w:tcW w:w="168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ascii="华文中宋" w:hAnsi="华文中宋" w:eastAsia="华文中宋" w:cs="华文中宋"/>
                <w:b/>
                <w:i w:val="0"/>
                <w:color w:val="000000" w:themeColor="text1"/>
                <w:kern w:val="0"/>
                <w:sz w:val="24"/>
                <w:szCs w:val="24"/>
                <w:highlight w:val="none"/>
                <w:u w:val="none"/>
                <w:lang w:val="en-US" w:eastAsia="zh-CN" w:bidi="ar"/>
                <w14:textFill>
                  <w14:solidFill>
                    <w14:schemeClr w14:val="tx1"/>
                  </w14:solidFill>
                </w14:textFill>
              </w:rPr>
              <w:t>备</w:t>
            </w: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 xml:space="preserve">  </w:t>
            </w:r>
            <w:r>
              <w:rPr>
                <w:rFonts w:ascii="华文中宋" w:hAnsi="华文中宋" w:eastAsia="华文中宋" w:cs="华文中宋"/>
                <w:b/>
                <w:i w:val="0"/>
                <w:color w:val="000000" w:themeColor="text1"/>
                <w:kern w:val="0"/>
                <w:sz w:val="24"/>
                <w:szCs w:val="24"/>
                <w:highlight w:val="none"/>
                <w:u w:val="none"/>
                <w:lang w:val="en-US" w:eastAsia="zh-CN" w:bidi="ar"/>
                <w14:textFill>
                  <w14:solidFill>
                    <w14:schemeClr w14:val="tx1"/>
                  </w14:solidFill>
                </w14:textFill>
              </w:rPr>
              <w:t>注</w:t>
            </w:r>
          </w:p>
        </w:tc>
      </w:tr>
      <w:tr>
        <w:tblPrEx>
          <w:shd w:val="clear" w:color="auto" w:fill="auto"/>
          <w:tblLayout w:type="fixed"/>
          <w:tblCellMar>
            <w:top w:w="0" w:type="dxa"/>
            <w:left w:w="0" w:type="dxa"/>
            <w:bottom w:w="0" w:type="dxa"/>
            <w:right w:w="0" w:type="dxa"/>
          </w:tblCellMar>
        </w:tblPrEx>
        <w:trPr>
          <w:trHeight w:val="825"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ascii="华文中宋" w:hAnsi="华文中宋" w:eastAsia="华文中宋" w:cs="华文中宋"/>
                <w:b/>
                <w:i w:val="0"/>
                <w:color w:val="000000" w:themeColor="text1"/>
                <w:kern w:val="0"/>
                <w:sz w:val="24"/>
                <w:szCs w:val="24"/>
                <w:highlight w:val="none"/>
                <w:u w:val="none"/>
                <w:lang w:val="en-US" w:eastAsia="zh-CN" w:bidi="ar"/>
                <w14:textFill>
                  <w14:solidFill>
                    <w14:schemeClr w14:val="tx1"/>
                  </w14:solidFill>
                </w14:textFill>
              </w:rPr>
              <w:t>单位</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ascii="华文中宋" w:hAnsi="华文中宋" w:eastAsia="华文中宋" w:cs="华文中宋"/>
                <w:b/>
                <w:i w:val="0"/>
                <w:color w:val="000000" w:themeColor="text1"/>
                <w:kern w:val="0"/>
                <w:sz w:val="24"/>
                <w:szCs w:val="24"/>
                <w:highlight w:val="none"/>
                <w:u w:val="none"/>
                <w:lang w:val="en-US" w:eastAsia="zh-CN" w:bidi="ar"/>
                <w14:textFill>
                  <w14:solidFill>
                    <w14:schemeClr w14:val="tx1"/>
                  </w14:solidFill>
                </w14:textFill>
              </w:rPr>
              <w:t>（元）</w:t>
            </w: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5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一</w:t>
            </w: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ascii="黑体" w:hAnsi="宋体" w:eastAsia="黑体" w:cs="黑体"/>
                <w:b/>
                <w:i w:val="0"/>
                <w:color w:val="000000" w:themeColor="text1"/>
                <w:kern w:val="0"/>
                <w:sz w:val="24"/>
                <w:szCs w:val="24"/>
                <w:highlight w:val="none"/>
                <w:u w:val="none"/>
                <w:lang w:val="en-US" w:eastAsia="zh-CN" w:bidi="ar"/>
                <w14:textFill>
                  <w14:solidFill>
                    <w14:schemeClr w14:val="tx1"/>
                  </w14:solidFill>
                </w14:textFill>
              </w:rPr>
              <w:t>混凝土</w:t>
            </w:r>
          </w:p>
        </w:tc>
      </w:tr>
      <w:tr>
        <w:tblPrEx>
          <w:tblLayout w:type="fixed"/>
          <w:tblCellMar>
            <w:top w:w="0" w:type="dxa"/>
            <w:left w:w="0" w:type="dxa"/>
            <w:bottom w:w="0" w:type="dxa"/>
            <w:right w:w="0" w:type="dxa"/>
          </w:tblCellMar>
        </w:tblPrEx>
        <w:trPr>
          <w:trHeight w:val="63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普通混凝土配合比设计</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个</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63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特种配合比设计</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≥C50,</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价格协商</w:t>
            </w:r>
          </w:p>
        </w:tc>
      </w:tr>
      <w:tr>
        <w:tblPrEx>
          <w:shd w:val="clear" w:color="auto" w:fill="auto"/>
          <w:tblLayout w:type="fixed"/>
          <w:tblCellMar>
            <w:top w:w="0" w:type="dxa"/>
            <w:left w:w="0" w:type="dxa"/>
            <w:bottom w:w="0" w:type="dxa"/>
            <w:right w:w="0" w:type="dxa"/>
          </w:tblCellMar>
        </w:tblPrEx>
        <w:trPr>
          <w:trHeight w:val="57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抗渗</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224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P6</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时，每提高</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个等级增加</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元</w:t>
            </w:r>
          </w:p>
        </w:tc>
      </w:tr>
      <w:tr>
        <w:tblPrEx>
          <w:shd w:val="clear" w:color="auto" w:fill="auto"/>
          <w:tblLayout w:type="fixed"/>
          <w:tblCellMar>
            <w:top w:w="0" w:type="dxa"/>
            <w:left w:w="0" w:type="dxa"/>
            <w:bottom w:w="0" w:type="dxa"/>
            <w:right w:w="0" w:type="dxa"/>
          </w:tblCellMar>
        </w:tblPrEx>
        <w:trPr>
          <w:trHeight w:val="55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抗冻</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循环</w:t>
            </w:r>
          </w:p>
        </w:tc>
      </w:tr>
      <w:tr>
        <w:tblPrEx>
          <w:tblLayout w:type="fixed"/>
          <w:tblCellMar>
            <w:top w:w="0" w:type="dxa"/>
            <w:left w:w="0" w:type="dxa"/>
            <w:bottom w:w="0" w:type="dxa"/>
            <w:right w:w="0" w:type="dxa"/>
          </w:tblCellMar>
        </w:tblPrEx>
        <w:trPr>
          <w:trHeight w:val="51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收缩</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224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67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立方体抗压</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含垃圾费。室温养护费用另计。</w:t>
            </w:r>
          </w:p>
        </w:tc>
      </w:tr>
      <w:tr>
        <w:tblPrEx>
          <w:shd w:val="clear" w:color="auto" w:fill="auto"/>
          <w:tblLayout w:type="fixed"/>
          <w:tblCellMar>
            <w:top w:w="0" w:type="dxa"/>
            <w:left w:w="0" w:type="dxa"/>
            <w:bottom w:w="0" w:type="dxa"/>
            <w:right w:w="0" w:type="dxa"/>
          </w:tblCellMar>
        </w:tblPrEx>
        <w:trPr>
          <w:trHeight w:val="45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抗折强度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6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弹性模量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65"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拌和物凝结时间</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个</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初凝</w:t>
            </w:r>
          </w:p>
        </w:tc>
      </w:tr>
      <w:tr>
        <w:tblPrEx>
          <w:shd w:val="clear" w:color="auto" w:fill="auto"/>
          <w:tblLayout w:type="fixed"/>
          <w:tblCellMar>
            <w:top w:w="0" w:type="dxa"/>
            <w:left w:w="0" w:type="dxa"/>
            <w:bottom w:w="0" w:type="dxa"/>
            <w:right w:w="0" w:type="dxa"/>
          </w:tblCellMar>
        </w:tblPrEx>
        <w:trPr>
          <w:trHeight w:val="405"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终凝</w:t>
            </w:r>
          </w:p>
        </w:tc>
      </w:tr>
      <w:tr>
        <w:tblPrEx>
          <w:shd w:val="clear" w:color="auto" w:fill="auto"/>
          <w:tblLayout w:type="fixed"/>
          <w:tblCellMar>
            <w:top w:w="0" w:type="dxa"/>
            <w:left w:w="0" w:type="dxa"/>
            <w:bottom w:w="0" w:type="dxa"/>
            <w:right w:w="0" w:type="dxa"/>
          </w:tblCellMar>
        </w:tblPrEx>
        <w:trPr>
          <w:trHeight w:val="39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钢筋粘结力</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3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快速测强</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7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劈裂抗拉强度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9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稠度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常压泌水率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0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压力泌水率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9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表观密度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7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含气量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2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配合比分析</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7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电通量</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0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抗裂</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7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碳化</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7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二</w:t>
            </w: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建筑砂浆</w:t>
            </w:r>
          </w:p>
        </w:tc>
      </w:tr>
      <w:tr>
        <w:tblPrEx>
          <w:shd w:val="clear" w:color="auto" w:fill="auto"/>
          <w:tblLayout w:type="fixed"/>
          <w:tblCellMar>
            <w:top w:w="0" w:type="dxa"/>
            <w:left w:w="0" w:type="dxa"/>
            <w:bottom w:w="0" w:type="dxa"/>
            <w:right w:w="0"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配合比设计</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个</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稠度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9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密度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3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分层度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3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立方体抗压强度</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室温养护费用另计</w:t>
            </w:r>
          </w:p>
        </w:tc>
      </w:tr>
      <w:tr>
        <w:tblPrEx>
          <w:shd w:val="clear" w:color="auto" w:fill="auto"/>
          <w:tblLayout w:type="fixed"/>
          <w:tblCellMar>
            <w:top w:w="0" w:type="dxa"/>
            <w:left w:w="0" w:type="dxa"/>
            <w:bottom w:w="0" w:type="dxa"/>
            <w:right w:w="0" w:type="dxa"/>
          </w:tblCellMar>
        </w:tblPrEx>
        <w:trPr>
          <w:trHeight w:val="33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抗冻</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每循环</w:t>
            </w:r>
          </w:p>
        </w:tc>
      </w:tr>
      <w:tr>
        <w:tblPrEx>
          <w:shd w:val="clear" w:color="auto" w:fill="auto"/>
          <w:tblLayout w:type="fixed"/>
          <w:tblCellMar>
            <w:top w:w="0" w:type="dxa"/>
            <w:left w:w="0" w:type="dxa"/>
            <w:bottom w:w="0" w:type="dxa"/>
            <w:right w:w="0" w:type="dxa"/>
          </w:tblCellMar>
        </w:tblPrEx>
        <w:trPr>
          <w:trHeight w:val="34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收缩</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3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凝结时间</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54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抗渗</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P6</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时，每提高</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个等级增加</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元</w:t>
            </w:r>
          </w:p>
        </w:tc>
      </w:tr>
      <w:tr>
        <w:tblPrEx>
          <w:shd w:val="clear" w:color="auto" w:fill="auto"/>
          <w:tblLayout w:type="fixed"/>
          <w:tblCellMar>
            <w:top w:w="0" w:type="dxa"/>
            <w:left w:w="0" w:type="dxa"/>
            <w:bottom w:w="0" w:type="dxa"/>
            <w:right w:w="0" w:type="dxa"/>
          </w:tblCellMar>
        </w:tblPrEx>
        <w:trPr>
          <w:trHeight w:val="33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回弹法检测砌筑砂浆强度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每测区</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筒压法检测砌筑砂浆强度</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3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点荷法检测砌筑砂浆强度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3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静力受压弹性模量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3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三</w:t>
            </w: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粗骨料、轻集料</w:t>
            </w:r>
          </w:p>
        </w:tc>
      </w:tr>
      <w:tr>
        <w:tblPrEx>
          <w:shd w:val="clear" w:color="auto" w:fill="auto"/>
          <w:tblLayout w:type="fixed"/>
          <w:tblCellMar>
            <w:top w:w="0" w:type="dxa"/>
            <w:left w:w="0" w:type="dxa"/>
            <w:bottom w:w="0" w:type="dxa"/>
            <w:right w:w="0" w:type="dxa"/>
          </w:tblCellMar>
        </w:tblPrEx>
        <w:trPr>
          <w:trHeight w:val="345"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颗粒级配</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w:t>
            </w:r>
          </w:p>
        </w:tc>
        <w:tc>
          <w:tcPr>
            <w:tcW w:w="168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5"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3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5"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3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表现密度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含泥量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泥块含量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含水率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吸水率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堆积密度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紧密密度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有机物含量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压碎指标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针片状含量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空隙率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岩石抗压强度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硫酸盐硫化物</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坚固性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筒压强度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强度标号</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软化系数</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粒型系数</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煮沸质量损失</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粗集料磨光值</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644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磨耗值</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软弱颗粒</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冲击值</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5"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碱活性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岩相法</w:t>
            </w:r>
          </w:p>
        </w:tc>
      </w:tr>
      <w:tr>
        <w:tblPrEx>
          <w:shd w:val="clear" w:color="auto" w:fill="auto"/>
          <w:tblLayout w:type="fixed"/>
          <w:tblCellMar>
            <w:top w:w="0" w:type="dxa"/>
            <w:left w:w="0" w:type="dxa"/>
            <w:bottom w:w="0" w:type="dxa"/>
            <w:right w:w="0" w:type="dxa"/>
          </w:tblCellMar>
        </w:tblPrEx>
        <w:trPr>
          <w:trHeight w:val="345"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快速砂浆棒法</w:t>
            </w:r>
          </w:p>
        </w:tc>
      </w:tr>
      <w:tr>
        <w:tblPrEx>
          <w:tblLayout w:type="fixed"/>
          <w:tblCellMar>
            <w:top w:w="0" w:type="dxa"/>
            <w:left w:w="0" w:type="dxa"/>
            <w:bottom w:w="0" w:type="dxa"/>
            <w:right w:w="0" w:type="dxa"/>
          </w:tblCellMar>
        </w:tblPrEx>
        <w:trPr>
          <w:trHeight w:val="345"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砂浆棒法</w:t>
            </w:r>
          </w:p>
        </w:tc>
      </w:tr>
      <w:tr>
        <w:tblPrEx>
          <w:shd w:val="clear" w:color="auto" w:fill="auto"/>
          <w:tblLayout w:type="fixed"/>
          <w:tblCellMar>
            <w:top w:w="0" w:type="dxa"/>
            <w:left w:w="0" w:type="dxa"/>
            <w:bottom w:w="0" w:type="dxa"/>
            <w:right w:w="0" w:type="dxa"/>
          </w:tblCellMar>
        </w:tblPrEx>
        <w:trPr>
          <w:trHeight w:val="36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岩石柱法</w:t>
            </w:r>
          </w:p>
        </w:tc>
      </w:tr>
      <w:tr>
        <w:tblPrEx>
          <w:shd w:val="clear" w:color="auto" w:fill="auto"/>
          <w:tblLayout w:type="fixed"/>
          <w:tblCellMar>
            <w:top w:w="0" w:type="dxa"/>
            <w:left w:w="0" w:type="dxa"/>
            <w:bottom w:w="0" w:type="dxa"/>
            <w:right w:w="0" w:type="dxa"/>
          </w:tblCellMar>
        </w:tblPrEx>
        <w:trPr>
          <w:trHeight w:val="34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洛杉矶磨耗损失率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224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四</w:t>
            </w: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细骨料</w:t>
            </w:r>
          </w:p>
        </w:tc>
      </w:tr>
      <w:tr>
        <w:tblPrEx>
          <w:shd w:val="clear" w:color="auto" w:fill="auto"/>
          <w:tblLayout w:type="fixed"/>
          <w:tblCellMar>
            <w:top w:w="0" w:type="dxa"/>
            <w:left w:w="0" w:type="dxa"/>
            <w:bottom w:w="0" w:type="dxa"/>
            <w:right w:w="0" w:type="dxa"/>
          </w:tblCellMar>
        </w:tblPrEx>
        <w:trPr>
          <w:trHeight w:val="33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颗粒级配</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3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表观密度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3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含泥量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3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泥块含量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3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石粉含量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3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含水率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3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吸水率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3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堆积密度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3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紧密密度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空隙率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云母含量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轻物质含量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有机物含量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坚固性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硫酸盐硫化物</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氯化物含量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杂物</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细集料砂当量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130.9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碱活性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岩相法</w:t>
            </w:r>
          </w:p>
        </w:tc>
      </w:tr>
      <w:tr>
        <w:tblPrEx>
          <w:shd w:val="clear" w:color="auto" w:fill="auto"/>
          <w:tblLayout w:type="fixed"/>
          <w:tblCellMar>
            <w:top w:w="0" w:type="dxa"/>
            <w:left w:w="0" w:type="dxa"/>
            <w:bottom w:w="0" w:type="dxa"/>
            <w:right w:w="0" w:type="dxa"/>
          </w:tblCellMar>
        </w:tblPrEx>
        <w:trPr>
          <w:trHeight w:val="315"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快速砂浆棒法</w:t>
            </w:r>
          </w:p>
        </w:tc>
      </w:tr>
      <w:tr>
        <w:tblPrEx>
          <w:shd w:val="clear" w:color="auto" w:fill="auto"/>
          <w:tblLayout w:type="fixed"/>
          <w:tblCellMar>
            <w:top w:w="0" w:type="dxa"/>
            <w:left w:w="0" w:type="dxa"/>
            <w:bottom w:w="0" w:type="dxa"/>
            <w:right w:w="0" w:type="dxa"/>
          </w:tblCellMar>
        </w:tblPrEx>
        <w:trPr>
          <w:trHeight w:val="315"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砂浆棒法</w:t>
            </w: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五</w:t>
            </w: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混凝土外加剂</w:t>
            </w:r>
          </w:p>
        </w:tc>
      </w:tr>
      <w:tr>
        <w:tblPrEx>
          <w:shd w:val="clear" w:color="auto" w:fill="auto"/>
          <w:tblLayout w:type="fixed"/>
          <w:tblCellMar>
            <w:top w:w="0" w:type="dxa"/>
            <w:left w:w="0" w:type="dxa"/>
            <w:bottom w:w="0" w:type="dxa"/>
            <w:right w:w="0" w:type="dxa"/>
          </w:tblCellMar>
        </w:tblPrEx>
        <w:trPr>
          <w:trHeight w:val="315"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混凝土凝结时间之差</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个</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初凝</w:t>
            </w:r>
          </w:p>
        </w:tc>
      </w:tr>
      <w:tr>
        <w:tblPrEx>
          <w:shd w:val="clear" w:color="auto" w:fill="auto"/>
          <w:tblLayout w:type="fixed"/>
          <w:tblCellMar>
            <w:top w:w="0" w:type="dxa"/>
            <w:left w:w="0" w:type="dxa"/>
            <w:bottom w:w="0" w:type="dxa"/>
            <w:right w:w="0" w:type="dxa"/>
          </w:tblCellMar>
        </w:tblPrEx>
        <w:trPr>
          <w:trHeight w:val="315"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终凝</w:t>
            </w: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减水率</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含气量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常压泌水率比</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混凝土收缩率比</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混凝土抗压强度比</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固体含量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对钢筋锈蚀作用</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混凝土限制膨胀率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420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细度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0.08mm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以上）</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 xml:space="preserve">   </w:t>
            </w:r>
          </w:p>
        </w:tc>
      </w:tr>
      <w:tr>
        <w:tblPrEx>
          <w:tblLayout w:type="fixed"/>
          <w:tblCellMar>
            <w:top w:w="0" w:type="dxa"/>
            <w:left w:w="0" w:type="dxa"/>
            <w:bottom w:w="0" w:type="dxa"/>
            <w:right w:w="0" w:type="dxa"/>
          </w:tblCellMar>
        </w:tblPrEx>
        <w:trPr>
          <w:trHeight w:val="315"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0.08mm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p>
        </w:tc>
      </w:tr>
      <w:tr>
        <w:tblPrEx>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含水率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硫酸钠</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砂浆减水率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氯离子含量</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水泥净浆流动度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碱含量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密度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pH</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值</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吸水量比</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压力泌水率比</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砂浆收缩率比</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砂浆抗压强度比</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砂浆限制膨胀率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420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比表面积</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氧化镁</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表面张力</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还原糖</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泡沫性能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净浆安定性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透水压力比</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P6</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时，每提高</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个等级增加</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元</w:t>
            </w: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塌落度保留值</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塌落度增加值</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渗透高度比</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1176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六</w:t>
            </w: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水泥</w:t>
            </w:r>
          </w:p>
        </w:tc>
      </w:tr>
      <w:tr>
        <w:tblPrEx>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强度</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安定性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沸煮安定性</w:t>
            </w:r>
          </w:p>
        </w:tc>
      </w:tr>
      <w:tr>
        <w:tblPrEx>
          <w:shd w:val="clear" w:color="auto" w:fill="auto"/>
          <w:tblLayout w:type="fixed"/>
          <w:tblCellMar>
            <w:top w:w="0" w:type="dxa"/>
            <w:left w:w="0" w:type="dxa"/>
            <w:bottom w:w="0" w:type="dxa"/>
            <w:right w:w="0" w:type="dxa"/>
          </w:tblCellMar>
        </w:tblPrEx>
        <w:trPr>
          <w:trHeight w:val="315"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雷氏夹安定性</w:t>
            </w:r>
          </w:p>
        </w:tc>
      </w:tr>
      <w:tr>
        <w:tblPrEx>
          <w:shd w:val="clear" w:color="auto" w:fill="auto"/>
          <w:tblLayout w:type="fixed"/>
          <w:tblCellMar>
            <w:top w:w="0" w:type="dxa"/>
            <w:left w:w="0" w:type="dxa"/>
            <w:bottom w:w="0" w:type="dxa"/>
            <w:right w:w="0" w:type="dxa"/>
          </w:tblCellMar>
        </w:tblPrEx>
        <w:trPr>
          <w:trHeight w:val="315"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细度（筛余法）</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0.08mm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筛</w:t>
            </w:r>
          </w:p>
        </w:tc>
      </w:tr>
      <w:tr>
        <w:tblPrEx>
          <w:shd w:val="clear" w:color="auto" w:fill="auto"/>
          <w:tblLayout w:type="fixed"/>
          <w:tblCellMar>
            <w:top w:w="0" w:type="dxa"/>
            <w:left w:w="0" w:type="dxa"/>
            <w:bottom w:w="0" w:type="dxa"/>
            <w:right w:w="0" w:type="dxa"/>
          </w:tblCellMar>
        </w:tblPrEx>
        <w:trPr>
          <w:trHeight w:val="315"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0.08mm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筛</w:t>
            </w: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标准稠度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氧化镁</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三氧化硫</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烧失量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膨胀率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凝结时间</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流动性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白度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比表面积</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密度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收缩</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耐磨度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氧化钙</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每样本</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三氧化二铁</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三氧化二铝</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氧化钾</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氧化钠</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二氧化硅</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七</w:t>
            </w: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砌墙砖</w:t>
            </w: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外观质量</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尺寸偏差</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抗压强度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抗折强度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吸水率</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抗冻</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循环</w:t>
            </w: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石灰爆裂</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体积密度</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泛霜</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饱和系数</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孔洞率及孔结构测定</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干燥收缩</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墙体传热系数</w:t>
            </w:r>
          </w:p>
        </w:tc>
        <w:tc>
          <w:tcPr>
            <w:tcW w:w="6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八</w:t>
            </w: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砌块</w:t>
            </w: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抗压强度</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抗冻性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循环</w:t>
            </w: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材料容重</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空心率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块体密度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抗折强度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含水率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吸水率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软化系数</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抗渗性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抗碳化性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干缩率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尺寸偏差</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外观质量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相对含水率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干湿强度系数</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九</w:t>
            </w: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混凝土路面砖</w:t>
            </w: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尺寸偏差</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外观质量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抗压强度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15"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抗折强度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含加工费</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抗冻性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耐磨性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十</w:t>
            </w: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改性沥青防水卷材</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拉力</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不透水性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低温柔度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耐热性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吸水率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单位面积浸涂含量</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可溶物含量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外观</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断裂延伸率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撕裂强度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拉伸强度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粘结强度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加热伸缩量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剪切性能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剥离性能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热处理尺寸变化率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热老化处理</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热老化抗拉强度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热老化后伸长率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热老化后断裂强度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尺寸稳定性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抗穿孔性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剪切状态下粘合性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耐碱性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十一</w:t>
            </w: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建筑用普通石油沥青</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针入度</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延度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软化点</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溶解度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闪点</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水分</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蒸发损失</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蒸发后针入度比</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沥青密度与相对密度</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176.4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沥青针入度指数</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174.3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沥青旋转薄膜加热试验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沥青蜡含量试验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1610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沥青动力粘度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651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沥青薄膜加热试验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沥青脆点试验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沥青灰分量试验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沥青与粗集料的粘附性试验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沥青与石料的低温粘附性试验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沥青运动粘度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沥青化学组分实验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沥青布氏旋转粘度试验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沥青粘韧性试验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沥青恩格拉粘度试验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沥青标准粘度试验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沥青弯曲蠕变劲度试验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沥青流变性质试验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压力老化容器加速沥青老化试验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沥青抗剥落剂性能评价</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沥青弹性恢复试验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改性沥青软化点</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改性沥青针入度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改性沥青针入度指数</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420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改性沥青延度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改性沥青溶解度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改性沥青闪点与燃点试验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改性沥青旋转薄膜加热试验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470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改性沥青弹性恢复</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改性沥青离析、软化点差</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270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聚合物改性沥青离析试验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乳化沥青蒸发残留物含量试验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乳化沥青蒸发残留物针入度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乳化沥青蒸发残留物延度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乳化沥青筛上剩余物试验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130.9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乳化沥青与矿料的粘附性试验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124.6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乳化沥青破乳速度试验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乳化沥青储存稳定性试验（</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5d</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142.1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乳化沥青微粒子离子电荷试验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193.9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乳化沥青水泥拌和试验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乳化沥青与矿料的拌和试验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液体石油沥青蒸馏试验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液体石油沥青闪点试验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煤沥青蒸馏试验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53</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沥青混合料试件制作方法</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54</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沥青混合料试件密度试验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沥青混合料吸水率试验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沥青混合料理论最大相对密度试验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沥青抽提试验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沥青混合料车辙试验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59</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沥青混合料沥青含量试验</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553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燃烧法</w:t>
            </w: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离心分离法</w:t>
            </w: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沥青混合料矿料级配检验试验</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 xml:space="preserve">      </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沥青混凝土弯曲试验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62</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沥青混凝土单轴压缩试验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沥青混合料劈裂试验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浸水马歇尔试验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真空饱水马歇尔试验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沥青混合料浸水车辙试验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沥青路面芯样马歇尔试验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沥青混合料析漏损失</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480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沥青混合料飞散损失</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420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沥青混合料渗水试验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沥青混合料表面构造深度试验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沥青混合料谢伦堡沥青析漏试验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沥青混合料肯塔堡飞散试验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480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热拌沥青混合料加速老化试验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乳化沥青稀浆封层混合料稠度试验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乳化沥青稀浆封层混合料湿轮磨耗试验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乳化沥青稀浆封层混合料初凝时间试验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乳化沥青稀浆封层混合料固化时间试验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沥青混合料冻融劈裂试验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693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522"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80</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沥青混合料配合比</w:t>
            </w: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沥青原材料试验</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针入度、延度、软化点</w:t>
            </w: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矿粉原材料试验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细集料原材料试验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粗集料原材料试验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沥青矿料理论级配设计</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最佳沥青用量确定</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马歇尔稳定度试验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马歇尔残留稳定度试验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冻融劈裂试验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车辙试验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配合比设计</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十二</w:t>
            </w: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水性沥青基防水涂料（聚氨酯、聚合物乳液、聚合物水泥）</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固体含量</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拉伸强度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延伸性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低温柔性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耐热性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不透水性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粘结强度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抗冻性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紫外线处理</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碱处理</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热处理</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试样处理</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剥离强度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涂膜表干时间</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涂膜实干时间</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外观</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粘度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耐腐蚀性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成型、养护费</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（十三）</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建筑防水接缝材料</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耐热性</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低温柔性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拉伸粘结性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回弹率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浸水拉伸粘结性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挥发率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试样处理</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（十四）</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高分子防水卷材</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外观</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卷</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不透水性</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热处理尺寸变化（加热伸缩）</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抗拉强度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断裂延伸率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柔度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吸水率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撕裂强度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热空气老化</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（十五）</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瓦</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外观质量</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尺寸偏差</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横向抗折</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纵向抗折</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抗冲击</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不透水性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吸水率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抗冻性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循环</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样品处理</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急冷急热</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（十六）</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装饰石膏板</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外观质量</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尺寸偏差</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含水率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单位面积重量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断裂荷载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受潮挠度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吸水率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护面纸与石膏芯粘结</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（十七）</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石灰</w:t>
            </w: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熟化速度</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含砂率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容重</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产浆量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细度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有效氧化钙</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氧化镁</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有效氧化钙和氧化镁</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（十八）</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钢材化学分析</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钢材元素化学分析</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每元素</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（十九）</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钢材及焊接件</w:t>
            </w:r>
          </w:p>
        </w:tc>
      </w:tr>
      <w:tr>
        <w:tblPrEx>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钢材抗拉、冷弯</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42</w:t>
            </w:r>
          </w:p>
        </w:tc>
        <w:tc>
          <w:tcPr>
            <w:tcW w:w="168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φ</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p>
        </w:tc>
      </w:tr>
      <w:tr>
        <w:tblPrEx>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φ=28</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126</w:t>
            </w:r>
          </w:p>
        </w:tc>
        <w:tc>
          <w:tcPr>
            <w:tcW w:w="1684"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φ</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32</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反复弯曲</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比例极限</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弹性模量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弯曲</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压扁</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扩口</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断口</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常温冲击</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低温冲击</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HB</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硬度（</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点）</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件</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HR</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硬度（</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点）</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HV</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硬度（</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点）</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钢板抗拉</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钢板冷弯</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钢丝索抗拉</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弹簧抗压</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每段</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钢链抗拉</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钢铰线抗拉</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锚杆拉力</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件</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地脚螺栓、预埋件、穿杆螺栓拉力</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钢筋重量偏差</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焊接工艺评定</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钢筋尺寸偏差</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559"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预应力钢绞线拉伸、弹模试验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原材拉伸、静态法</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预应力钢绞线松弛试验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120h</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钢丝反复弯曲试验</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锚具静载试验</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孔</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锚具硬度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个</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洛式硬度</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轻钢龙骨</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吊顶力学性能</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w:t>
            </w: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墙体力学性能</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（二十）</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预应力多孔板</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外观、尺寸偏差、承载力、挠度、抗裂</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块</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（二十一）</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建筑内外墙涂料</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容器中状态</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低温稳定性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遮盖率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颜色及外观</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干燥时间</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耐洗刷性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耐碱性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粘度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细度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白度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附着力</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耐水性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耐干擦性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粘结强度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耐冷热循环性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透水性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耐沾污性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施工性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骨料沉降性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制样、养护</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（二十二）</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内外墙腻子</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耐水性</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耐碱性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打磨性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粘结强度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耐水粘结强度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制样、养护</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（二十三）</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陶瓷砖粘结剂</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凉置后抗拉强度</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调整后抗拉强度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压剪强度（标准）</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浸水后压剪强度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耐热后压剪强度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冻融后压剪强度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收缩率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制样、养护费</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（二十四）</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水性胶粘剂</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外观</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固体含量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粘度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PH</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值</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游离甲醛</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180°</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剥离强度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低温稳定性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灰分</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蒸发剩余物</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（二十五）</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饰面砖</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吸水率</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耐急冷急热性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抗冻性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弯曲强度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断裂模数</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外观质量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尺寸偏差</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中心弯曲度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翘曲度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饰面砖粘结强度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边直度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直角度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抗釉裂性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耐磨性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耐酸碱</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边弯曲度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显气孔率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表观相对密度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容重</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耐污染性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（二十六）</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建筑石板材</w:t>
            </w: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吸水率</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体积密度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压缩强度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弯曲强度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光泽度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外观质量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尺寸偏差</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平直度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直角度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夹角度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肖氏硬度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放射性</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每样品</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378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真密度</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真气孔率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耐酸性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耐磨性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（二十七）</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轻质隔墙板</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外观质量</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尺寸偏差</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密度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抗折强度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抗折挠度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抗压强度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横向抗折</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纵向抗折</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吸水率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含水率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湿胀率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热收缩率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垂直抗拉</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螺钉拔出力</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导热</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147</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不燃性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抗冲击性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不透水性</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企口尺寸</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面密度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抗弯破坏荷载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单点吊挂力</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试样状态调节</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样品处理</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（二十八）</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水泥板块</w:t>
            </w: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外观尺寸</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单位面积质量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含水率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吸水率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断裂荷载</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块</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浸水抗折强度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受潮挠度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受潮变形</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浸水膨胀</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泛霜试验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耐磨度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147</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光泽度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样品处理</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（二十九）</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掺合料</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需水比</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强度活性系数</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含水量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细度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密度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加热安定性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亲水系数</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（三十）</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水泥花砖</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外观尺寸</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尺寸偏差</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抗折力</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块</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耐磨性能</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结构性能</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块</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吸水率</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样品处理</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（三十一）</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橡胶支座</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外观质量</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外形尺寸</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抗压弹性模量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644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抗剪弹性模量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809.2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抗剪粘结性能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1111.6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抗剪老化</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1111.6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极限抗压强度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500T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压力机抗压</w:t>
            </w: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644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500T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压力机抗压</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竖向压缩变形</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盆环径向变形</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（三十二）</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建筑幕墙</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风压变形性</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樘</w:t>
            </w:r>
          </w:p>
        </w:tc>
        <w:tc>
          <w:tcPr>
            <w:tcW w:w="165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11900</w:t>
            </w:r>
          </w:p>
        </w:tc>
        <w:tc>
          <w:tcPr>
            <w:tcW w:w="168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三性试验</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雨水渗漏性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空气渗透性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层间变形性能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宽度</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，高度</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≤9m</w:t>
            </w:r>
          </w:p>
        </w:tc>
      </w:tr>
      <w:tr>
        <w:tblPrEx>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宽度＞</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，高度＞</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9m</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耐候胶</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石材胶</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云石胶</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干挂胶</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结构胶</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2310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中空玻璃</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钢化玻璃</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热反射镀镆玻璃</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拉拔试验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建筑石材</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全套</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幕墙焊缝检测（磁粉探伤）</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（三十三）</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硅酮结构胶</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下垂性</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挤出性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适用时间</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表干时间</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抗折硬度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拉伸粘结标准</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拉伸粘结</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90</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拉伸粘结</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拉伸粘结浸水</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拉伸粘结水</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紫外</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1120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热老化</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1120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剥离性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相容性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（三十四）</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木材与人造板</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含水率</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容重</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顺纹抗压</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147</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弯曲强度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顺纹拉力</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顺纹剪力</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弹性模量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（三十五）</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粘土</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有机物</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含砂率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最大干容重</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密实度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含水量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可溶性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（三十六）</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土工试验</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含水量</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环刀法密度试验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环刀法密度试验（现场大体积）</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灌砂（水）法密度试验</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击实试验</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样</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砂相对密实度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颗粒分析</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水洗法</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比重计法</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比重</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液塑限</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无侧限抗压强度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直剪（快剪）</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直剪（固剪）</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直剪（慢剪）</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压缩试验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压缩试验（测固结系数）</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每级</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三轴不固结不排水剪</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420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三轴固结不排水剪</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三轴排水剪</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贯入（钢筋贯入法）</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贯入（轻便触探仪</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N</w:t>
            </w:r>
            <w:r>
              <w:rPr>
                <w:rFonts w:hint="default" w:ascii="Times New Roman" w:hAnsi="Times New Roman" w:eastAsia="宋体" w:cs="Times New Roman"/>
                <w:i w:val="0"/>
                <w:color w:val="000000" w:themeColor="text1"/>
                <w:kern w:val="0"/>
                <w:sz w:val="24"/>
                <w:szCs w:val="24"/>
                <w:highlight w:val="none"/>
                <w:u w:val="none"/>
                <w:vertAlign w:val="subscript"/>
                <w:lang w:val="en-US" w:eastAsia="zh-CN" w:bidi="ar"/>
                <w14:textFill>
                  <w14:solidFill>
                    <w14:schemeClr w14:val="tx1"/>
                  </w14:solidFill>
                </w14:textFill>
              </w:rPr>
              <w:t>10</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贯入法）</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承载比试验（ＣＢＲ）</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渗透系数</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自由膨胀率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标准曲线</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回弹模量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420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（三十七）</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无机结合稳定材料试验</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无侧限抗压强度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个</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石灰化学分析</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水泥剂量</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标准曲线</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配合比设计</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（三十八）</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市政道路</w:t>
            </w: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弯沉测试</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10.5</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（杠杆仪）</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（落锤仪）</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路面压实度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取芯</w:t>
            </w: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核子仪</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路面基层压实度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路基压实度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平整度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1000m</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77</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路基ＣＢＲ</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回弹模量</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基层强度</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构造深度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摩擦系数</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几何尺寸（曲线半径、最大纵坡、坡长、最小视距）</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台班</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横坡度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1000m</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纵断高程</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中线偏位</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路基、路面宽度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车辙</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渗水系数</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路面破损</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1000m</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每车道</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水稳层配合比</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基层厚度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点</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层</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沥青混凝土构造层厚度检测</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路面厚度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车道</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千米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横向力系数测试车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车道</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千米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劈裂强度（砼路面）</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个</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纵横缝顺直度</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相邻板高差</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7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病害调查</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车道</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千米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闭水试验</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千米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管道内窥检测</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管道现场压水试验</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千米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地下管线探测</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地下管线盲探</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地下管线泄漏探测</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千米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标线涂料色度性能</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标线涂料抗压强度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标线涂料玻璃珠含量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标线涂料耐磨耗性能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330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突起路标外观质量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突起路标外形尺寸</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突起路标发光强度系数</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突起路标抗冲击性能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突起路标耐中性盐雾试验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突起路标抗压荷载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反光膜色度性能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反光膜逆反射性能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反光膜抗拉荷载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反光膜附着性能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通信管道外观质量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通信管道外形尺寸</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通信管道内摩擦系数</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通信管道内耐压性能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塑料管道弯曲半径</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通信管道管道内爆破性能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通信管道耐落锤冲击性能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镀锌层均匀性（硫酸铜法）</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镀锌附着性（锤击法）</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镀锌附着量（氯化锑法）</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镀层厚度荷（镀层测厚仪）</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镀铝层、涂塑层均均性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镀铝层、涂塑层附着性</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镀铝层、涂塑层耐磨耗性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镀铝层、涂塑层耐冲击性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镀铝层、涂塑层耐湿热性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拼接螺栓抗拉荷载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反光标线逆反射系数</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千米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反光标线抗滑性能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道路交通标线几何尺寸</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道路交通标线涂层厚度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标线剥落面积</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道路交通标线色度性能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标志底板外形尺寸及底板厚度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标志汉字、数字、拉丁字体及尺寸</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千米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标志面反光膜等级及逆反射系数</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千米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标志板下缘至路面净空高度及标志内缘距路边缘距离</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标志立柱竖直度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标志金属构件镀层厚度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标志基础尺寸</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波形梁板基底金属厚度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立柱壁厚</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涂层厚度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立柱外边缘距路肩边线距离</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立柱中距</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立柱竖直度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护栏顺直度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横梁中心高度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安装角度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纵向间距</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损坏及脱落个数</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千米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横向偏位</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（三十九）</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市政桥梁</w:t>
            </w: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桥梁静、动载试验</w:t>
            </w: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单片梁静载试验</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长度≤</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25m</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片</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7855.4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长度</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&gt;25m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的，每增</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1m</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简支梁（板）桥</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跨径≤</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静载</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孔</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19250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跨径≤</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动载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9354.1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每增</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静载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每增</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动载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69.3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刚构桥</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跨径≤</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静载</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孔</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跨径≤</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动载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每增</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静载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277.2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每增</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动载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69.3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连续梁桥</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跨径≤</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静载</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孔</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跨径≤</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动载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每增</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静载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277.2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每增</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动载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69.3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拱桥</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跨径≤</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静载</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孔</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跨径≤</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动载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每增</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静载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277.2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每增</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动载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69.3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斜拉桥、悬索桥等其他复杂结构</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静载</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孔</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动载</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孔</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索力</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378.7</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支架预压</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跨径≤</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静载</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孔</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每增</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静载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702"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上下部构造</w:t>
            </w: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混凝土强度</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回弹法</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测区</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02"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钻芯法</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上下部构造</w:t>
            </w: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主要构件尺寸</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尺量</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墩台垂直度</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垂线、经纬仪法</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39"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钢筋保护层厚度</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钢筋保护层厚度测定仪</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130.9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桥面系</w:t>
            </w: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桥面平整度</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 xml:space="preserve"> </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八轮仪</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千米</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车道</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直尺测量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26.6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路面自动化检测车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横坡</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水准仪测量</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抗滑</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人工铺砂法</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电动铺砂法</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路面自动化检测车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千米</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车道</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摆式仪</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检测评估</w:t>
            </w: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定期检测</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特大桥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座</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大桥</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中桥</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小桥、跨线天桥</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特殊检测</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跨径≤</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50m</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孔</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每增</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1m</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简支梁（板）桥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座</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结构检算</w:t>
            </w: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连续梁桥</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22500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拱桥</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上承式圬工拱桥、钢筋混凝土拱桥</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钢</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混凝土组合拱桥</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中承式（或下承式）吊杆拱桥</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钢构桥</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斜拉桥、悬索桥及其他新型或特殊结构型式的桥梁</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32500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桥梁线形</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旧桥破损检测（检查）与承载能力鉴定（评估）</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522"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施工监控结构访真分析</w:t>
            </w: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连续梁、钢构桥</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座</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522"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钢</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混凝土组合拱桥</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162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斜拉桥、悬索桥及其他新型或特殊结构型式的桥梁</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桥梁外观检测（普查）</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桥梁定期检测</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混凝土碳化深度检测</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超声波法检测混凝土表观及内缺陷</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混凝土钢筋位置检测</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构件</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混凝土保护层厚度检测</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钢筋锈蚀电位检测</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混凝土电阻率检测</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33</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氯离子含量检测</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测点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现场</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34</w:t>
            </w: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室内</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裂缝深度（超声波法）</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条</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裂缝长度、宽度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超声回弹法检测混凝土强度</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构件</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回弹法检测混凝土强度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拉索索力检测</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拉索破损（完好性）检测</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桥面结构层厚度及缺陷检测</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千米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水下构件检测</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孔道注浆密实度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孔道摩阻试验（有效预应力检测）</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孔道</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859"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桥梁附属设施检测（排水设施，防护设施，挡墙，护坡，人行天桥的附属物，声屏障、广告牌、灯光装饰，调治构造物，桥头搭板</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构件</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桥梁结构表面涂层厚度检测</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桥检车辆</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辆</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（四十）</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市政隧道检测</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初支检测</w:t>
            </w: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衬砌质量检测（厚度、背后空洞、钢筋</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拱架分布）</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km</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6547.8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拱架间距</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拱架保护层</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138.6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锚杆数量</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环</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锚杆拉拔力</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254.1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锚杆施工质量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130.9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衬砌轮廓尺寸</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断面</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321.3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初支混凝土强度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个</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二衬检测</w:t>
            </w: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二衬厚度、背后空洞</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km</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6540.1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二衬钢筋间距</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39.2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二衬强度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测区</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大面平整度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隧道外观检查</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979"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隧道环境检测（照度、噪声、风速、粉尘浓度、烟雾浓度、温湿度、氧气浓度、一氧化碳浓度、硫化氢浓度、瓦斯浓度、二氧化碳浓度、氮氧化物浓度、氨气浓度、二氧化硫浓度）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隧道预埋件抗拔力</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（四十一）</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铝、塑型材</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壁厚，氧化膜厚度</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硬度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147</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物理力学性能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（四十二）</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门窗框用聚氯乙烯型材</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硬度</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套</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拉伸强度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断裂伸长率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弯曲弹性模量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低温落锤冲击</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维卡软化点</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加热后状态</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加热后尺寸变化率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氧指数</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高低温反复尺寸变化率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常温简支梁冲击</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低温简支梁冲击</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耐侯性</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小时</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尺寸公差</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套</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样品加工处理</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（四十三）</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岩石</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岩石抗压强度（不含加工费）</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（四十四）</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钢模板</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全项检测</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块</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（四十五）</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钢结构</w:t>
            </w: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钢网架</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m</w:t>
            </w:r>
            <w:r>
              <w:rPr>
                <w:rFonts w:hint="default" w:ascii="Times New Roman" w:hAnsi="Times New Roman" w:eastAsia="宋体" w:cs="Times New Roman"/>
                <w:i w:val="0"/>
                <w:color w:val="000000" w:themeColor="text1"/>
                <w:kern w:val="0"/>
                <w:sz w:val="24"/>
                <w:szCs w:val="24"/>
                <w:highlight w:val="none"/>
                <w:u w:val="none"/>
                <w:vertAlign w:val="superscript"/>
                <w:lang w:val="en-US" w:eastAsia="zh-CN" w:bidi="ar"/>
                <w14:textFill>
                  <w14:solidFill>
                    <w14:schemeClr w14:val="tx1"/>
                  </w14:solidFill>
                </w14:textFill>
              </w:rPr>
              <w:t>2</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钢结构塔</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座</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4200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高强度螺栓扭矩系数</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连接副滑移系数</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型钢拉力</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件</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型钢冷弯</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型钢焊接拉力</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型钢焊接冷弯</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螺栓球组合抗拉</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147</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网架焊接球</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钢网架挠度检测</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点</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次</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表面硬度法推定钢材强度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钢板超声波无损检测</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焊缝外观检查</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焊缝无损探伤</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超声波法，磁粉法，渗透法</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焊缝</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X</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射线探伤</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张</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w:t>
            </w: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w:t>
            </w: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22</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涂层厚度检测</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测区</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防火</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w:t>
            </w: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防腐</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涂层附着力</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测区</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划格法</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拉拔法</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扣件或底座力学性能</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高强度螺栓施工扭矩</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节点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高强螺栓硬度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（四十六）</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碳纤维</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碳纤维复合材抗拉强度</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碳纤维弹性模量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碳纤维极限延伸率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（四十七）</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天然饰面石材（天然石材）</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外观质量</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尺寸偏差</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压缩强度（未含加工费）</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弯曲强度（干燥、水饱和）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（未含加工费）</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0</w:t>
            </w: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体积密度（未含加工费）</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吸水率（未含加工费）</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光泽度（未含加工费）</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抗压强度（未含加工费）</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抗折强度（未含加工费）</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（四十八）</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室内环境检测</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苯</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氨</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TVOC</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（总有机挥发物）</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氡</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甲醛</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土壤氡浓度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（四十九）</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装修材料类</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TVOC</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甲醛</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重金属</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氨</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放射性核素</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苯基环乙烯</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聚乙烯单体</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内外照射指数</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（五十一）</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弹簧</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压力试验</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个</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（五十一）</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非破损检测</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回弹法检测混凝土抗压强度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超声回弹检测混凝土抗压强度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测区</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钢筋探测（位置、规格、保护层厚度、板厚）</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超声波测缺</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m2</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拔出法检测混凝土抗压强度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钻芯法检测混凝土抗压强度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个</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构件尺寸</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楼层净高</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块</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轴线偏差</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构件</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栏杆水平推力</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贯入法测砌体砂浆强度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测区</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楼面静载试验</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块</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楼板厚度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构件裂缝、箍筋间距、钢筋直径</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构件</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（五十二）</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结构载荷试验</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结构载荷试验承载力</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点</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次</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结构载荷试验变形</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结构应力应变</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（五十三）</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锚杆（土钉）试验</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承载力</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变形</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长度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注浆饱满度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（五十四）</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管桩抗弯试验</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承载力（不包括安装）</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条</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变形（不包括安装）</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（五十五）</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建筑结构鉴定</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建筑物结构检测鉴定（综合）</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m</w:t>
            </w:r>
            <w:r>
              <w:rPr>
                <w:rFonts w:hint="default" w:ascii="Times New Roman" w:hAnsi="Times New Roman" w:eastAsia="宋体" w:cs="Times New Roman"/>
                <w:i w:val="0"/>
                <w:color w:val="000000" w:themeColor="text1"/>
                <w:kern w:val="0"/>
                <w:sz w:val="24"/>
                <w:szCs w:val="24"/>
                <w:highlight w:val="none"/>
                <w:u w:val="none"/>
                <w:vertAlign w:val="superscript"/>
                <w:lang w:val="en-US" w:eastAsia="zh-CN" w:bidi="ar"/>
                <w14:textFill>
                  <w14:solidFill>
                    <w14:schemeClr w14:val="tx1"/>
                  </w14:solidFill>
                </w14:textFill>
              </w:rPr>
              <w:t>2</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检测楼板厚度</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块</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检测构件裂缝、箍筋间距、钢筋直径</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件</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（五十六）</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砌体工程现场检测</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砌体强度</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每个构件</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砌体砂浆</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抗拔力</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476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（五十七）</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混凝土后锚固件</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抗拔力</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（五十八）</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木结构检测（外观）</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大木结构的修缮工程</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木望板工程</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木门窗修缮工程</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个</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8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台基工程</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处或自然间</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柱类构件制作工程</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件</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梁类构件制作工程</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搁栅、桁檩</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类构件制作</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板类构件制作工程</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屋面木基层构件制作工程</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下架木构件的安装工程</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上架木构件的安装工程</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屋面木基层构件安装工程</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砖细工程的修缮工程</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小青瓦工程</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门扇的制作工程</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件</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窗扇的制作工程</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窗扇、门扇的安装工程</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扇</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天花（凿井）制作与安装工程</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木栏杆、楼梯制作与安装工程</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木装修构件的修缮工程</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个</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一般抹灰工程</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装饰抹灰工程</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木地面修缮工程</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处或自然间</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楼、地面修缮工程</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（五十九）</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基桩检测</w:t>
            </w: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低应变检测</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高应变检测</w:t>
            </w: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单桩极限承载力（kN）</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≤1000</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不超过</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3000</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不超过</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5000</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不超过</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10000</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不超过</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559"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10000</w:t>
            </w:r>
            <w:r>
              <w:rPr>
                <w:rStyle w:val="151"/>
                <w:rFonts w:ascii="宋体" w:hAnsi="宋体" w:eastAsia="宋体" w:cs="宋体"/>
                <w:color w:val="000000" w:themeColor="text1"/>
                <w:sz w:val="24"/>
                <w:szCs w:val="24"/>
                <w:highlight w:val="none"/>
                <w:lang w:val="en-US" w:eastAsia="zh-CN" w:bidi="ar"/>
                <w14:textFill>
                  <w14:solidFill>
                    <w14:schemeClr w14:val="tx1"/>
                  </w14:solidFill>
                </w14:textFill>
              </w:rPr>
              <w:t>，每增加</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5000</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按前一档收费基价乘以</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的附加调整系数</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埋管法超声波检测（</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D</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：剖面深度）</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剖面</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350</w:t>
            </w:r>
          </w:p>
        </w:tc>
        <w:tc>
          <w:tcPr>
            <w:tcW w:w="1684"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522"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按前一档收费基价乘以</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的附加调整系数</w:t>
            </w:r>
          </w:p>
        </w:tc>
        <w:tc>
          <w:tcPr>
            <w:tcW w:w="1684"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灌注桩成孔检测</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孔</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686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 xml:space="preserve">D≤30    </w:t>
            </w: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 xml:space="preserve">30＜D≤40  </w:t>
            </w: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 xml:space="preserve">40＜D≤50  </w:t>
            </w: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1295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 xml:space="preserve">50＜D≤60  </w:t>
            </w: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 xml:space="preserve">D＞60  </w:t>
            </w: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194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垂直静载荷试验（锚桩抗拔试验）（加荷最大值）</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500kN</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3150</w:t>
            </w:r>
          </w:p>
        </w:tc>
        <w:tc>
          <w:tcPr>
            <w:tcW w:w="1684" w:type="dxa"/>
            <w:vMerge w:val="restart"/>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94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1000kN</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4900</w:t>
            </w:r>
          </w:p>
        </w:tc>
        <w:tc>
          <w:tcPr>
            <w:tcW w:w="1684"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94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1000kN</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每增加</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500kN</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增加</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2450</w:t>
            </w:r>
          </w:p>
        </w:tc>
        <w:tc>
          <w:tcPr>
            <w:tcW w:w="1684" w:type="dxa"/>
            <w:vMerge w:val="continue"/>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钻芯法</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超前钻</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重型动力触探</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钢筋笼长度检测</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（六十）</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桩基、天然地基、复合地基静载</w:t>
            </w:r>
          </w:p>
        </w:tc>
      </w:tr>
      <w:tr>
        <w:tblPrEx>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载荷板试验</w:t>
            </w: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螺旋板</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980</w:t>
            </w:r>
          </w:p>
        </w:tc>
        <w:tc>
          <w:tcPr>
            <w:tcW w:w="168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浅、深层平板面积</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0.1-1m</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加载最大值（</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k</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Ｎ）</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水位线以下</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水位线以上</w:t>
            </w: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1470/1260</w:t>
            </w: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且≤</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200</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1960/1750</w:t>
            </w: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200</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且≤</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2450/2170</w:t>
            </w: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且≤</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2940/2660</w:t>
            </w: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且≤</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500</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3430/3150</w:t>
            </w: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500</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见垂直静载试验</w:t>
            </w: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（六十一）</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土工合成材料及其他材料</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土工合成材料试验</w:t>
            </w: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单位面积质量</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32.9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厚度测定</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59.5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幅宽测定</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32.9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网孔尺寸测定</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32.9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拉伸试验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184.1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粘焊点极限剥离力试验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186.2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梯形撕破强力试验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187.6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CBR</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顶破强力试验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183.4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刺破强力试验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186.9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落锤穿透试验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垂直渗透性能试验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497</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耐静水压试验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塑料排水带芯带压屈强度试验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塑料排水带芯带通水量试验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378.7</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止水带（条）</w:t>
            </w: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抗伸强度（老化前）</w:t>
            </w:r>
          </w:p>
        </w:tc>
        <w:tc>
          <w:tcPr>
            <w:tcW w:w="697"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121.8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抗伸强度（老化后）</w:t>
            </w:r>
          </w:p>
        </w:tc>
        <w:tc>
          <w:tcPr>
            <w:tcW w:w="697"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242.2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扯断伸长率（老化前）</w:t>
            </w:r>
          </w:p>
        </w:tc>
        <w:tc>
          <w:tcPr>
            <w:tcW w:w="697"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65.8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扯断伸长率（老化后）</w:t>
            </w:r>
          </w:p>
        </w:tc>
        <w:tc>
          <w:tcPr>
            <w:tcW w:w="697"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65.8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硬度（老化前）</w:t>
            </w:r>
          </w:p>
        </w:tc>
        <w:tc>
          <w:tcPr>
            <w:tcW w:w="697"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65.8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邵尔硬度</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硬度（老化后）</w:t>
            </w:r>
          </w:p>
        </w:tc>
        <w:tc>
          <w:tcPr>
            <w:tcW w:w="697"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121.8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邵尔硬度</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撕裂强度</w:t>
            </w:r>
          </w:p>
        </w:tc>
        <w:tc>
          <w:tcPr>
            <w:tcW w:w="697"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22</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脆性温度</w:t>
            </w:r>
          </w:p>
        </w:tc>
        <w:tc>
          <w:tcPr>
            <w:tcW w:w="697"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212.1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压缩永久变形</w:t>
            </w:r>
          </w:p>
        </w:tc>
        <w:tc>
          <w:tcPr>
            <w:tcW w:w="697"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347.2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臭氧老化</w:t>
            </w:r>
          </w:p>
        </w:tc>
        <w:tc>
          <w:tcPr>
            <w:tcW w:w="697"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508.9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橡胶与金属结合</w:t>
            </w:r>
          </w:p>
        </w:tc>
        <w:tc>
          <w:tcPr>
            <w:tcW w:w="697"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156.1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26</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硬度</w:t>
            </w:r>
          </w:p>
        </w:tc>
        <w:tc>
          <w:tcPr>
            <w:tcW w:w="697"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59.5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邵尔硬度</w:t>
            </w: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27</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防水板</w:t>
            </w: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断裂拉伸强度</w:t>
            </w:r>
          </w:p>
        </w:tc>
        <w:tc>
          <w:tcPr>
            <w:tcW w:w="697"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127.4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扯断伸长率</w:t>
            </w:r>
          </w:p>
        </w:tc>
        <w:tc>
          <w:tcPr>
            <w:tcW w:w="697"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65.1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29</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撕裂强度</w:t>
            </w:r>
          </w:p>
        </w:tc>
        <w:tc>
          <w:tcPr>
            <w:tcW w:w="697"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130.2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不透水性</w:t>
            </w:r>
          </w:p>
        </w:tc>
        <w:tc>
          <w:tcPr>
            <w:tcW w:w="697"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65.8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低温弯折</w:t>
            </w:r>
          </w:p>
        </w:tc>
        <w:tc>
          <w:tcPr>
            <w:tcW w:w="697"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184.1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32</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加热伸缩量</w:t>
            </w:r>
          </w:p>
        </w:tc>
        <w:tc>
          <w:tcPr>
            <w:tcW w:w="697"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121.1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33</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热空气老化（</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168h</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p>
        </w:tc>
        <w:tc>
          <w:tcPr>
            <w:tcW w:w="697"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267.4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34</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耐碱性</w:t>
            </w:r>
          </w:p>
        </w:tc>
        <w:tc>
          <w:tcPr>
            <w:tcW w:w="697"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124.6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臭氧老化</w:t>
            </w:r>
          </w:p>
        </w:tc>
        <w:tc>
          <w:tcPr>
            <w:tcW w:w="697"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313.6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（六十二）</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建筑给排水用塑料管材</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外观</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套</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弯曲度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规格尺寸</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拉伸强度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断裂伸长率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扁平实验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落锤冲击实验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纵向回缩率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维卡温度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样品加工处理</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烘箱实验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密度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连接密封实验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不透水性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三氯甲烷温度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147</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氧指数</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拉伸强度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冲击强度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147</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腐蚀度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液压实验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尺寸变化率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22</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环刚度</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（外径≤</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400mm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w:t>
            </w: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（外径</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450-800mm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w:t>
            </w: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（外径</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900-1500mm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360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（外径</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1600-2400mm</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爆破试验</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受压开裂稳定性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环柔性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线荷载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（六十三）</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钢筋混凝土排水管</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外观质量</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件</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尺寸偏差</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内水压力</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件</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外压</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（六十四）</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建筑用金属管材管件</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外观</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尺寸</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弯曲性能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压扁性能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镀锌层均匀性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镀锌层附着力</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压力试验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超声波探伤</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径向刚度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抗渗漏性能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局部横向荷载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样品加工处理</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（六十五）</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波纹管</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外观质量尺寸</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环刚度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柔韧性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46.5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横向局部荷载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116.5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抗冲击性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46.5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不圆度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46.5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51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（六十六）</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阀门</w:t>
            </w: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φ50</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件</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φ50</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φ100</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φ100</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（六十七）</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建筑用绝缘电工套管配件</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规格尺寸</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套</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外观</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跌落性能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耐热性能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阻燃性能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耐电压</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绝缘电阻</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加工费</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（六十八）</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建筑用绝缘电工管套</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外观</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壁厚均匀度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规格尺寸</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抗压性能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冲击性能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弯曲性能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弯扁性能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跌落性能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耐热性能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阻燃性能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耐电压（</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24h</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绝缘电阻</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样品加工处理</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（六十九）</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建筑安装水电检测</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电气及防雷接地系统</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系统</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156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电气绝缘电阻</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回路</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回路是指从配电屏（箱、板）至各分配电箱（板）各为一回路，各分配电箱（板）通过电流熔断保护至各受电器具的各为一回路。</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管道水压测试</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漏电保护</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个</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插座相位</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电压</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回路</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电流</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防雷检测</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平方米</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0.75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（七十）</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电线电缆类</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导体结构</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芯</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导线尺寸</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绝缘厚度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外径测量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标志</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表面</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印刷标志耐擦试验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导体电阻</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成品电缆电压试验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绝缘线芯电压试验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绝缘电阻</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老化前断裂伸长率试验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老化前抗张强度试验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不延燃试验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266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护套厚度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护套外径</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护套老化前拉力试验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护套不延燃试验</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电缆泄流电流</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绝缘线芯断线、混线</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传输时延（</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Propagation Delay</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时延偏离（</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Delay Skew</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衰减（</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Attenuation</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近端串扰</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(NEXT)</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综合近端串扰</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(PSNEXT)</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26</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衰减串扰</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(ACR)</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27</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综合衰减串扰比</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(PSACR)</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等效远端串扰</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(ELFEXT)</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29</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综合等效远端串扰</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(PSELFEXT)</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回波损耗</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(RL)</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特性阻抗</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（七十一）</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保温系统及材料</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 xml:space="preserve"> </w:t>
            </w:r>
          </w:p>
        </w:tc>
      </w:tr>
      <w:tr>
        <w:tblPrEx>
          <w:shd w:val="clear" w:color="auto" w:fill="auto"/>
          <w:tblLayout w:type="fixed"/>
          <w:tblCellMar>
            <w:top w:w="0" w:type="dxa"/>
            <w:left w:w="0" w:type="dxa"/>
            <w:bottom w:w="0" w:type="dxa"/>
            <w:right w:w="0" w:type="dxa"/>
          </w:tblCellMar>
        </w:tblPrEx>
        <w:trPr>
          <w:trHeight w:val="319"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胶粉聚苯颗粒外墙外保温系统</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胶粉聚苯颗粒保温浆料</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147</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34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392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抗裂剂及抗裂砂浆</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392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耐碱网布</w:t>
            </w: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断裂强力（经、纬向）</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46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耐碱强力保留率（经、纬向）</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试验过程：</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个试样浸入恒温混合碱液（</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天）</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 xml:space="preserve">      </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烘干后放置（</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天）</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 xml:space="preserve">      </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拉伸试验计算保留率。</w:t>
            </w: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涂塑量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144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7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面砖粘结砂浆</w:t>
            </w: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拉伸粘结强度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02"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面砖勾缝料</w:t>
            </w: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拉伸粘结强度</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常温常态</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14d</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392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642"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耐水（常温常态</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14d</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，浸水</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48h</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，放置</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24h</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99"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热镀锌电焊网</w:t>
            </w: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焊点抗拉力</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762"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镀锌层质量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392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8</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胶粘剂</w:t>
            </w:r>
          </w:p>
        </w:tc>
        <w:tc>
          <w:tcPr>
            <w:tcW w:w="270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拉伸粘结强度（与水泥基）</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392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拉伸粘接强度</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与聚苯板</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392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w:t>
            </w:r>
          </w:p>
        </w:tc>
        <w:tc>
          <w:tcPr>
            <w:tcW w:w="194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膨胀聚苯板</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导热系数</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94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表观密度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294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94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压缩强度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147</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94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燃烧性能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1610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w:t>
            </w:r>
          </w:p>
        </w:tc>
        <w:tc>
          <w:tcPr>
            <w:tcW w:w="194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抹面胶浆</w:t>
            </w:r>
          </w:p>
        </w:tc>
        <w:tc>
          <w:tcPr>
            <w:tcW w:w="150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拉伸粘结强度（与聚苯板）</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392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94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w:t>
            </w:r>
          </w:p>
        </w:tc>
        <w:tc>
          <w:tcPr>
            <w:tcW w:w="194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耐碱网布</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耐碱断裂强力（经、纬向）</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475"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94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耐碱断裂强力保留率</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630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试验过程：</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个试样浸入恒温混合碱液（</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天）烘干后放置（</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天）</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 xml:space="preserve">            </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拉伸试验计算保留率</w:t>
            </w:r>
          </w:p>
        </w:tc>
      </w:tr>
      <w:tr>
        <w:tblPrEx>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94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涂塑量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98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12</w:t>
            </w:r>
          </w:p>
        </w:tc>
        <w:tc>
          <w:tcPr>
            <w:tcW w:w="194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锚栓</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现场抗拉承载力</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外墙节能构造钻芯检测</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560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w:t>
            </w:r>
          </w:p>
        </w:tc>
        <w:tc>
          <w:tcPr>
            <w:tcW w:w="194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建筑保温砂浆</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干密度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147</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94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抗压强度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94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导热系数</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441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保温装饰一体板</w:t>
            </w: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外观质量</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尺寸偏差</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270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物理力学性能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18</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保温装饰板性能</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单位面积质量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拉伸粘结强度</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392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（原强度）</w:t>
            </w: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20</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（耐水强度）</w:t>
            </w: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每循环（耐冻融强度</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22</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抗冲击性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23</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抗弯荷载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24</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吸水量</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52.5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25</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不透水性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70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26</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保温材料燃烧性能分级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27</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保温材料导热系数</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28</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泡沫塑料保温材料氧指数</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29</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保温装饰一体板</w:t>
            </w: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保温装饰板装饰面性能</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耐酸性</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30</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耐碱性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105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31</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耐盐雾</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32</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耐老化</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33</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耐沾污性</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34</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附着力</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210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粘结砂浆性能指标</w:t>
            </w:r>
          </w:p>
        </w:tc>
        <w:tc>
          <w:tcPr>
            <w:tcW w:w="150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拉伸粘结强度（与水泥砂浆或与保温装饰板）</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392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原强度</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36</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耐水强度</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37</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可操作时间</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392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38</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锚固件主要性能指标</w:t>
            </w: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拉拔力标准值</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39</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1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5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悬挂力</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（七十二）</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膨胀珍珠岩</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导热系数</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441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（七十三）</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绝热用挤塑聚苯乙烯泡沫塑料（</w:t>
            </w: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XPS</w:t>
            </w: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压缩强度</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147</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绝热性能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燃烧性能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1610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燃烧性能（</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B1</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级</w:t>
            </w: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3220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（七十四）</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岩棉板</w:t>
            </w: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物理力学性能</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燃烧性能</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1150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（七十五）</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铝合金窗</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气密性能</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 xml:space="preserve"> 3</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樘</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保温性能</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樘</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水密性能</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樘</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抗风压性能</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樘</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建筑外窗现场气密性</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（七十六）</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 xml:space="preserve"> </w:t>
            </w: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铝合金门</w:t>
            </w: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气密性能</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 xml:space="preserve"> 3</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樘</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保温性能</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樘</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1960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水密性能</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樘</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抗风压性能</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樘</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5</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建筑外窗现场气密性</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组</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1500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（七十七）</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未增塑聚氯乙烯（</w:t>
            </w: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PVC-U</w:t>
            </w: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）塑料窗</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气密性能</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樘</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保温性能</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樘</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1715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（七十八）</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未增塑聚氯乙烯（</w:t>
            </w:r>
            <w:r>
              <w:rPr>
                <w:rFonts w:hint="default" w:ascii="Times New Roman" w:hAnsi="Times New Roman" w:eastAsia="宋体" w:cs="Times New Roman"/>
                <w:b/>
                <w:i w:val="0"/>
                <w:color w:val="000000" w:themeColor="text1"/>
                <w:kern w:val="0"/>
                <w:sz w:val="24"/>
                <w:szCs w:val="24"/>
                <w:highlight w:val="none"/>
                <w:u w:val="none"/>
                <w:lang w:val="en-US" w:eastAsia="zh-CN" w:bidi="ar"/>
                <w14:textFill>
                  <w14:solidFill>
                    <w14:schemeClr w14:val="tx1"/>
                  </w14:solidFill>
                </w14:textFill>
              </w:rPr>
              <w:t>PVC-U</w:t>
            </w: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）塑料门</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保温性能</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樘</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1960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（七十九）</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玻璃</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玻璃遮阳系数</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项</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可见光透射比</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147</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中空玻璃露点</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294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4</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传热系数</w:t>
            </w: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294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（八十）</w:t>
            </w:r>
          </w:p>
        </w:tc>
        <w:tc>
          <w:tcPr>
            <w:tcW w:w="748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建筑外窗</w:t>
            </w:r>
          </w:p>
        </w:tc>
      </w:tr>
      <w:tr>
        <w:tblPrEx>
          <w:shd w:val="clear" w:color="auto" w:fill="auto"/>
          <w:tblLayout w:type="fixed"/>
          <w:tblCellMar>
            <w:top w:w="0" w:type="dxa"/>
            <w:left w:w="0" w:type="dxa"/>
            <w:bottom w:w="0" w:type="dxa"/>
            <w:right w:w="0" w:type="dxa"/>
          </w:tblCellMar>
        </w:tblPrEx>
        <w:trPr>
          <w:trHeight w:val="300" w:hRule="atLeast"/>
        </w:trPr>
        <w:tc>
          <w:tcPr>
            <w:tcW w:w="8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建筑外窗现场气密性</w:t>
            </w:r>
          </w:p>
        </w:tc>
        <w:tc>
          <w:tcPr>
            <w:tcW w:w="6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3</w:t>
            </w: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樘</w:t>
            </w:r>
          </w:p>
        </w:tc>
        <w:tc>
          <w:tcPr>
            <w:tcW w:w="16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4"/>
                <w:szCs w:val="24"/>
                <w:highlight w:val="none"/>
                <w:u w:val="none"/>
                <w:lang w:val="en-US" w:eastAsia="zh-CN" w:bidi="ar"/>
                <w14:textFill>
                  <w14:solidFill>
                    <w14:schemeClr w14:val="tx1"/>
                  </w14:solidFill>
                </w14:textFill>
              </w:rPr>
              <w:t>1470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themeColor="text1"/>
                <w:sz w:val="24"/>
                <w:szCs w:val="24"/>
                <w:highlight w:val="none"/>
                <w:u w:val="none"/>
                <w14:textFill>
                  <w14:solidFill>
                    <w14:schemeClr w14:val="tx1"/>
                  </w14:solidFill>
                </w14:textFill>
              </w:rPr>
            </w:pPr>
          </w:p>
        </w:tc>
      </w:tr>
    </w:tbl>
    <w:p>
      <w:pP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br w:type="page"/>
      </w:r>
    </w:p>
    <w:p>
      <w:pPr>
        <w:pStyle w:val="2"/>
        <w:bidi w:val="0"/>
        <w:jc w:val="center"/>
        <w:rPr>
          <w:rFonts w:hint="eastAsia"/>
          <w:color w:val="000000" w:themeColor="text1"/>
          <w:sz w:val="36"/>
          <w:szCs w:val="36"/>
          <w:highlight w:val="none"/>
          <w:lang w:val="en-US" w:eastAsia="zh-CN"/>
          <w14:textFill>
            <w14:solidFill>
              <w14:schemeClr w14:val="tx1"/>
            </w14:solidFill>
          </w14:textFill>
        </w:rPr>
      </w:pPr>
      <w:bookmarkStart w:id="21" w:name="_Toc8836"/>
      <w:r>
        <w:rPr>
          <w:rFonts w:hint="eastAsia"/>
          <w:color w:val="000000" w:themeColor="text1"/>
          <w:sz w:val="36"/>
          <w:szCs w:val="36"/>
          <w:highlight w:val="none"/>
          <w:lang w:val="en-US" w:eastAsia="zh-CN"/>
          <w14:textFill>
            <w14:solidFill>
              <w14:schemeClr w14:val="tx1"/>
            </w14:solidFill>
          </w14:textFill>
        </w:rPr>
        <w:t>第七章 工程勘察费</w:t>
      </w:r>
      <w:bookmarkEnd w:id="21"/>
    </w:p>
    <w:p>
      <w:pPr>
        <w:numPr>
          <w:ilvl w:val="0"/>
          <w:numId w:val="57"/>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根据建设工程的要求，查明、分析、评价工程项目建设地点的地形地貌、地层土壤岩性、地质构造、水文条件等自然地质条件资料，做出鉴定和综合评价，编制建设工程勘察文件。</w:t>
      </w:r>
    </w:p>
    <w:p>
      <w:pPr>
        <w:numPr>
          <w:ilvl w:val="0"/>
          <w:numId w:val="57"/>
        </w:numPr>
        <w:ind w:left="0" w:leftChars="0" w:firstLine="640" w:firstLineChars="0"/>
        <w:rPr>
          <w:rFonts w:hint="default"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适用范围：本市政府投资建设项目的工程勘察费上限值及结算可参考本标准。</w:t>
      </w:r>
    </w:p>
    <w:p>
      <w:pPr>
        <w:numPr>
          <w:ilvl w:val="0"/>
          <w:numId w:val="57"/>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计费标准：</w:t>
      </w:r>
    </w:p>
    <w:p>
      <w:pPr>
        <w:numPr>
          <w:ilvl w:val="0"/>
          <w:numId w:val="58"/>
        </w:numPr>
        <w:ind w:left="5" w:leftChars="0" w:firstLine="635" w:firstLineChars="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本标准工程勘察费采取实物工作量定额计费方法计算，由实物工作费和技术工作费两部分组成。</w:t>
      </w:r>
    </w:p>
    <w:p>
      <w:pPr>
        <w:numPr>
          <w:ilvl w:val="0"/>
          <w:numId w:val="58"/>
        </w:numPr>
        <w:ind w:left="5" w:leftChars="0" w:firstLine="635" w:firstLineChars="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工程勘察费按照下列公式计算：</w:t>
      </w:r>
    </w:p>
    <w:p>
      <w:pPr>
        <w:numPr>
          <w:ilvl w:val="1"/>
          <w:numId w:val="58"/>
        </w:numPr>
        <w:spacing w:line="360" w:lineRule="auto"/>
        <w:ind w:left="147" w:leftChars="0" w:firstLine="493" w:firstLineChars="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工程勘察费＝工程勘察费基准价</w:t>
      </w:r>
    </w:p>
    <w:p>
      <w:pPr>
        <w:numPr>
          <w:ilvl w:val="1"/>
          <w:numId w:val="58"/>
        </w:numPr>
        <w:spacing w:line="360" w:lineRule="auto"/>
        <w:ind w:left="147" w:leftChars="0" w:firstLine="493" w:firstLineChars="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工程勘察费基准价＝工程勘察实物工作费＋工程勘察技术工作费</w:t>
      </w:r>
    </w:p>
    <w:p>
      <w:pPr>
        <w:numPr>
          <w:ilvl w:val="1"/>
          <w:numId w:val="58"/>
        </w:numPr>
        <w:spacing w:line="360" w:lineRule="auto"/>
        <w:ind w:left="147" w:leftChars="0" w:firstLine="493" w:firstLineChars="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工程勘察实物工作费＝工程勘察实物工作费基价×实物工作量×附加调整系数</w:t>
      </w:r>
    </w:p>
    <w:p>
      <w:pPr>
        <w:numPr>
          <w:ilvl w:val="1"/>
          <w:numId w:val="58"/>
        </w:numPr>
        <w:spacing w:line="360" w:lineRule="auto"/>
        <w:ind w:left="147" w:leftChars="0" w:firstLine="493" w:firstLineChars="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工程勘察技术工作费=工程勘察实物工作费×技术工作费比例</w:t>
      </w:r>
    </w:p>
    <w:p>
      <w:pPr>
        <w:numPr>
          <w:ilvl w:val="0"/>
          <w:numId w:val="58"/>
        </w:numPr>
        <w:ind w:left="5" w:leftChars="0" w:firstLine="635" w:firstLineChars="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工程勘察组日、台班收费基价如下：</w:t>
      </w:r>
    </w:p>
    <w:p>
      <w:pPr>
        <w:numPr>
          <w:ilvl w:val="1"/>
          <w:numId w:val="58"/>
        </w:numPr>
        <w:spacing w:line="360" w:lineRule="auto"/>
        <w:ind w:left="147" w:leftChars="0" w:firstLine="493" w:firstLineChars="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工程测量、检测监测、工程物探 600元/组日</w:t>
      </w:r>
    </w:p>
    <w:p>
      <w:pPr>
        <w:numPr>
          <w:ilvl w:val="1"/>
          <w:numId w:val="58"/>
        </w:numPr>
        <w:spacing w:line="360" w:lineRule="auto"/>
        <w:ind w:left="147" w:leftChars="0" w:firstLine="493" w:firstLineChars="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岩土工程勘察 816元/台班</w:t>
      </w:r>
    </w:p>
    <w:p>
      <w:pPr>
        <w:numPr>
          <w:ilvl w:val="1"/>
          <w:numId w:val="58"/>
        </w:numPr>
        <w:spacing w:line="360" w:lineRule="auto"/>
        <w:ind w:left="147" w:leftChars="0" w:firstLine="493" w:firstLineChars="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水文地质勘察 1008元/台班</w:t>
      </w:r>
    </w:p>
    <w:p>
      <w:pPr>
        <w:numPr>
          <w:ilvl w:val="0"/>
          <w:numId w:val="58"/>
        </w:numPr>
        <w:ind w:left="5" w:leftChars="0" w:firstLine="635" w:firstLineChars="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水文地质钻探实物工作收费基价按所钻探地层分层计算，计算公式如下：</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br w:type="textWrapping"/>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水文地质钻探实物工作收费基价=1</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1</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0元/（米）×自然进尺（米）×岩土类别系数×孔深系数×孔径系数</w:t>
      </w:r>
    </w:p>
    <w:p>
      <w:pPr>
        <w:numPr>
          <w:ilvl w:val="0"/>
          <w:numId w:val="57"/>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相关说明</w:t>
      </w:r>
    </w:p>
    <w:p>
      <w:pPr>
        <w:numPr>
          <w:ilvl w:val="0"/>
          <w:numId w:val="59"/>
        </w:numPr>
        <w:ind w:left="0" w:leftChars="0" w:firstLine="638" w:firstLineChars="228"/>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工程勘察费基准价不包括以下费用：办理工程勘察相关许可，以及购买有关资料费；拆除障碍物，开挖以及修复地下管线费；修通至作业现场道路，接通电源、水源以及平整场地费；勘察材料以及加工费；水上作业用船、排、平台以及水监费；勘察</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机械进出场</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费；青苗、树木以及水域养殖物赔偿费等。发生以上费用的，由发包人另行支付。</w:t>
      </w:r>
    </w:p>
    <w:p>
      <w:pPr>
        <w:numPr>
          <w:ilvl w:val="0"/>
          <w:numId w:val="59"/>
        </w:numPr>
        <w:ind w:left="0" w:leftChars="0" w:firstLine="638" w:firstLineChars="228"/>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利用已有勘察资料的，技术工作费按该部分实物工作费（不计附加调整系数）的40%计入。</w:t>
      </w:r>
    </w:p>
    <w:p>
      <w:pPr>
        <w:numPr>
          <w:ilvl w:val="0"/>
          <w:numId w:val="59"/>
        </w:numPr>
        <w:ind w:left="0" w:leftChars="0" w:firstLine="638" w:firstLineChars="228"/>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工程物探技术工作费收费比例为</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22</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lang w:eastAsia="zh-CN"/>
          <w14:textFill>
            <w14:solidFill>
              <w14:schemeClr w14:val="tx1"/>
            </w14:solidFill>
          </w14:textFill>
        </w:rPr>
        <w:t>。</w:t>
      </w:r>
    </w:p>
    <w:p>
      <w:pPr>
        <w:numPr>
          <w:ilvl w:val="0"/>
          <w:numId w:val="59"/>
        </w:numPr>
        <w:ind w:left="0" w:leftChars="0" w:firstLine="638" w:firstLineChars="228"/>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水文地质勘察技术工作费计费比例详表1.10</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w:t>
      </w:r>
    </w:p>
    <w:p>
      <w:pPr>
        <w:numPr>
          <w:ilvl w:val="0"/>
          <w:numId w:val="59"/>
        </w:numPr>
        <w:ind w:left="0" w:leftChars="0" w:firstLine="638" w:firstLineChars="228"/>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钻孔封孔费：原土封孔不计，水泥浆封孔按8元/m计算</w:t>
      </w:r>
      <w:r>
        <w:rPr>
          <w:rFonts w:hint="eastAsia" w:asciiTheme="minorEastAsia" w:hAnsiTheme="minorEastAsia" w:eastAsiaTheme="minorEastAsia" w:cstheme="minorEastAsia"/>
          <w:bCs/>
          <w:color w:val="000000" w:themeColor="text1"/>
          <w:sz w:val="28"/>
          <w:szCs w:val="28"/>
          <w:highlight w:val="none"/>
          <w:lang w:eastAsia="zh-CN"/>
          <w14:textFill>
            <w14:solidFill>
              <w14:schemeClr w14:val="tx1"/>
            </w14:solidFill>
          </w14:textFill>
        </w:rPr>
        <w:t>。</w:t>
      </w:r>
    </w:p>
    <w:p>
      <w:pPr>
        <w:numPr>
          <w:ilvl w:val="0"/>
          <w:numId w:val="59"/>
        </w:numPr>
        <w:ind w:left="0" w:leftChars="0" w:firstLine="638" w:firstLineChars="228"/>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根据不同专业类别，勘察费用乘以相应的调整系数：道路0.9、建筑0.9、桥隧1.0、轨道1.0</w:t>
      </w:r>
      <w:r>
        <w:rPr>
          <w:rFonts w:hint="eastAsia" w:asciiTheme="minorEastAsia" w:hAnsiTheme="minorEastAsia" w:eastAsiaTheme="minorEastAsia" w:cstheme="minorEastAsia"/>
          <w:bCs/>
          <w:color w:val="000000" w:themeColor="text1"/>
          <w:sz w:val="28"/>
          <w:szCs w:val="28"/>
          <w:highlight w:val="none"/>
          <w:lang w:eastAsia="zh-CN"/>
          <w14:textFill>
            <w14:solidFill>
              <w14:schemeClr w14:val="tx1"/>
            </w14:solidFill>
          </w14:textFill>
        </w:rPr>
        <w:t>。</w:t>
      </w:r>
    </w:p>
    <w:p>
      <w:pPr>
        <w:numPr>
          <w:ilvl w:val="0"/>
          <w:numId w:val="57"/>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名词解释</w:t>
      </w:r>
    </w:p>
    <w:p>
      <w:pPr>
        <w:numPr>
          <w:ilvl w:val="0"/>
          <w:numId w:val="60"/>
        </w:numPr>
        <w:ind w:left="0" w:leftChars="0" w:firstLine="638" w:firstLineChars="228"/>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工程勘察费：指勘察人根据发包人的委托，收集已有资料、现场踏勘、制订勘察纲要，进行测绘、勘探、取样、试验、测试、检测、监测等勘察作业，以及编制工程勘察文件等工作所需的费用。</w:t>
      </w:r>
    </w:p>
    <w:p>
      <w:pPr>
        <w:numPr>
          <w:ilvl w:val="0"/>
          <w:numId w:val="60"/>
        </w:numPr>
        <w:ind w:left="0" w:leftChars="0" w:firstLine="638" w:firstLineChars="228"/>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工程勘察费基准价：按照本标准计算出的工程勘察基准计费额。</w:t>
      </w:r>
    </w:p>
    <w:p>
      <w:pPr>
        <w:numPr>
          <w:ilvl w:val="0"/>
          <w:numId w:val="60"/>
        </w:numPr>
        <w:ind w:left="0" w:leftChars="0" w:firstLine="638" w:firstLineChars="228"/>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工程勘察实物工作费基价：指完成每单位工程勘察实物工作内容的基本价格。工程勘察实物工作费基价在《实物工作收费基价表》（详表1~18）中查找确定。</w:t>
      </w:r>
    </w:p>
    <w:p>
      <w:pPr>
        <w:numPr>
          <w:ilvl w:val="0"/>
          <w:numId w:val="60"/>
        </w:numPr>
        <w:ind w:left="0" w:leftChars="0" w:firstLine="638" w:firstLineChars="228"/>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附加调整系数：对工程勘察的自然条件、作业内容和复杂程度差异进行调整的系数。附加调整系数为两个或者两个以上的，附加调整系数不能连乘。将各附加调整系数相加,减去附加调整系数的个数,加上定值1，作为附加调整系数值。</w:t>
      </w:r>
    </w:p>
    <w:p>
      <w:pPr>
        <w:numPr>
          <w:ilvl w:val="0"/>
          <w:numId w:val="0"/>
        </w:numPr>
        <w:ind w:firstLine="560" w:firstLineChars="200"/>
        <w:rPr>
          <w:rFonts w:hint="default" w:asciiTheme="minorEastAsia" w:hAnsiTheme="minorEastAsia" w:cstheme="minorEastAsia"/>
          <w:bCs/>
          <w:color w:val="000000" w:themeColor="text1"/>
          <w:sz w:val="28"/>
          <w:szCs w:val="28"/>
          <w:highlight w:val="none"/>
          <w:lang w:val="en-US" w:eastAsia="zh-CN"/>
          <w14:textFill>
            <w14:solidFill>
              <w14:schemeClr w14:val="tx1"/>
            </w14:solidFill>
          </w14:textFill>
        </w:rPr>
        <w:sectPr>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p>
    <w:tbl>
      <w:tblPr>
        <w:tblStyle w:val="11"/>
        <w:tblW w:w="13988" w:type="dxa"/>
        <w:tblInd w:w="0" w:type="dxa"/>
        <w:shd w:val="clear" w:color="auto" w:fill="auto"/>
        <w:tblLayout w:type="fixed"/>
        <w:tblCellMar>
          <w:top w:w="0" w:type="dxa"/>
          <w:left w:w="0" w:type="dxa"/>
          <w:bottom w:w="0" w:type="dxa"/>
          <w:right w:w="0" w:type="dxa"/>
        </w:tblCellMar>
      </w:tblPr>
      <w:tblGrid>
        <w:gridCol w:w="1329"/>
        <w:gridCol w:w="3242"/>
        <w:gridCol w:w="4378"/>
        <w:gridCol w:w="5039"/>
      </w:tblGrid>
      <w:tr>
        <w:tblPrEx>
          <w:tblLayout w:type="fixed"/>
          <w:tblCellMar>
            <w:top w:w="0" w:type="dxa"/>
            <w:left w:w="0" w:type="dxa"/>
            <w:bottom w:w="0" w:type="dxa"/>
            <w:right w:w="0" w:type="dxa"/>
          </w:tblCellMar>
        </w:tblPrEx>
        <w:trPr>
          <w:trHeight w:val="448" w:hRule="atLeast"/>
        </w:trPr>
        <w:tc>
          <w:tcPr>
            <w:tcW w:w="13988"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highlight w:val="none"/>
                <w:u w:val="none"/>
                <w:lang w:val="en-US"/>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14:textFill>
                  <w14:solidFill>
                    <w14:schemeClr w14:val="tx1"/>
                  </w14:solidFill>
                </w14:textFill>
              </w:rPr>
              <w:t xml:space="preserve">            工程地质测绘复杂程度表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表1</w:t>
            </w:r>
          </w:p>
        </w:tc>
      </w:tr>
      <w:tr>
        <w:tblPrEx>
          <w:shd w:val="clear" w:color="auto" w:fill="auto"/>
          <w:tblLayout w:type="fixed"/>
          <w:tblCellMar>
            <w:top w:w="0" w:type="dxa"/>
            <w:left w:w="0" w:type="dxa"/>
            <w:bottom w:w="0" w:type="dxa"/>
            <w:right w:w="0" w:type="dxa"/>
          </w:tblCellMar>
        </w:tblPrEx>
        <w:trPr>
          <w:trHeight w:val="414" w:hRule="atLeast"/>
        </w:trPr>
        <w:tc>
          <w:tcPr>
            <w:tcW w:w="132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类别</w:t>
            </w:r>
          </w:p>
        </w:tc>
        <w:tc>
          <w:tcPr>
            <w:tcW w:w="32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简单</w:t>
            </w:r>
          </w:p>
        </w:tc>
        <w:tc>
          <w:tcPr>
            <w:tcW w:w="4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中等</w:t>
            </w:r>
          </w:p>
        </w:tc>
        <w:tc>
          <w:tcPr>
            <w:tcW w:w="50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复杂</w:t>
            </w:r>
          </w:p>
        </w:tc>
      </w:tr>
      <w:tr>
        <w:tblPrEx>
          <w:tblLayout w:type="fixed"/>
          <w:tblCellMar>
            <w:top w:w="0" w:type="dxa"/>
            <w:left w:w="0" w:type="dxa"/>
            <w:bottom w:w="0" w:type="dxa"/>
            <w:right w:w="0" w:type="dxa"/>
          </w:tblCellMar>
        </w:tblPrEx>
        <w:trPr>
          <w:trHeight w:val="427" w:hRule="atLeast"/>
        </w:trPr>
        <w:tc>
          <w:tcPr>
            <w:tcW w:w="132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地质构造</w:t>
            </w:r>
          </w:p>
        </w:tc>
        <w:tc>
          <w:tcPr>
            <w:tcW w:w="3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岩层产状水平或倾斜很缓</w:t>
            </w:r>
          </w:p>
        </w:tc>
        <w:tc>
          <w:tcPr>
            <w:tcW w:w="4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有显著的褶皱、断层</w:t>
            </w:r>
          </w:p>
        </w:tc>
        <w:tc>
          <w:tcPr>
            <w:tcW w:w="50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有复杂的褶皱、断层</w:t>
            </w:r>
          </w:p>
        </w:tc>
      </w:tr>
      <w:tr>
        <w:tblPrEx>
          <w:shd w:val="clear" w:color="auto" w:fill="auto"/>
          <w:tblLayout w:type="fixed"/>
          <w:tblCellMar>
            <w:top w:w="0" w:type="dxa"/>
            <w:left w:w="0" w:type="dxa"/>
            <w:bottom w:w="0" w:type="dxa"/>
            <w:right w:w="0" w:type="dxa"/>
          </w:tblCellMar>
        </w:tblPrEx>
        <w:trPr>
          <w:trHeight w:val="600" w:hRule="atLeast"/>
        </w:trPr>
        <w:tc>
          <w:tcPr>
            <w:tcW w:w="132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岩层特征</w:t>
            </w:r>
          </w:p>
        </w:tc>
        <w:tc>
          <w:tcPr>
            <w:tcW w:w="3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简单，露头良好</w:t>
            </w:r>
          </w:p>
        </w:tc>
        <w:tc>
          <w:tcPr>
            <w:tcW w:w="4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变化不稳定，露头中等，有较复杂地质现象</w:t>
            </w:r>
          </w:p>
        </w:tc>
        <w:tc>
          <w:tcPr>
            <w:tcW w:w="50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变化复杂，种类繁多，露头不良，有滑坡、岩溶等复杂地质现象</w:t>
            </w:r>
          </w:p>
        </w:tc>
      </w:tr>
      <w:tr>
        <w:tblPrEx>
          <w:shd w:val="clear" w:color="auto" w:fill="auto"/>
          <w:tblLayout w:type="fixed"/>
          <w:tblCellMar>
            <w:top w:w="0" w:type="dxa"/>
            <w:left w:w="0" w:type="dxa"/>
            <w:bottom w:w="0" w:type="dxa"/>
            <w:right w:w="0" w:type="dxa"/>
          </w:tblCellMar>
        </w:tblPrEx>
        <w:trPr>
          <w:trHeight w:val="451" w:hRule="atLeast"/>
        </w:trPr>
        <w:tc>
          <w:tcPr>
            <w:tcW w:w="132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地形地貌</w:t>
            </w:r>
          </w:p>
        </w:tc>
        <w:tc>
          <w:tcPr>
            <w:tcW w:w="32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地形平坦，植被不发育，易于通行</w:t>
            </w:r>
          </w:p>
        </w:tc>
        <w:tc>
          <w:tcPr>
            <w:tcW w:w="43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地形起伏较大，河流、灌木较多，通行较困难</w:t>
            </w:r>
          </w:p>
        </w:tc>
        <w:tc>
          <w:tcPr>
            <w:tcW w:w="50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岭谷山地，林木密集，水网、稻田、沼泽，通行困难</w:t>
            </w:r>
          </w:p>
        </w:tc>
      </w:tr>
    </w:tbl>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p>
    <w:tbl>
      <w:tblPr>
        <w:tblStyle w:val="11"/>
        <w:tblW w:w="13988" w:type="dxa"/>
        <w:tblInd w:w="0" w:type="dxa"/>
        <w:shd w:val="clear" w:color="auto" w:fill="auto"/>
        <w:tblLayout w:type="fixed"/>
        <w:tblCellMar>
          <w:top w:w="0" w:type="dxa"/>
          <w:left w:w="0" w:type="dxa"/>
          <w:bottom w:w="0" w:type="dxa"/>
          <w:right w:w="0" w:type="dxa"/>
        </w:tblCellMar>
      </w:tblPr>
      <w:tblGrid>
        <w:gridCol w:w="1044"/>
        <w:gridCol w:w="453"/>
        <w:gridCol w:w="1931"/>
        <w:gridCol w:w="1064"/>
        <w:gridCol w:w="968"/>
        <w:gridCol w:w="81"/>
        <w:gridCol w:w="1931"/>
        <w:gridCol w:w="456"/>
        <w:gridCol w:w="1009"/>
        <w:gridCol w:w="647"/>
        <w:gridCol w:w="1036"/>
        <w:gridCol w:w="1166"/>
        <w:gridCol w:w="517"/>
        <w:gridCol w:w="1685"/>
      </w:tblGrid>
      <w:tr>
        <w:tblPrEx>
          <w:tblLayout w:type="fixed"/>
          <w:tblCellMar>
            <w:top w:w="0" w:type="dxa"/>
            <w:left w:w="0" w:type="dxa"/>
            <w:bottom w:w="0" w:type="dxa"/>
            <w:right w:w="0" w:type="dxa"/>
          </w:tblCellMar>
        </w:tblPrEx>
        <w:trPr>
          <w:trHeight w:val="375" w:hRule="atLeast"/>
        </w:trPr>
        <w:tc>
          <w:tcPr>
            <w:tcW w:w="13988" w:type="dxa"/>
            <w:gridSpan w:val="1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highlight w:val="none"/>
                <w:u w:val="none"/>
                <w:lang w:eastAsia="zh-CN"/>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14:textFill>
                  <w14:solidFill>
                    <w14:schemeClr w14:val="tx1"/>
                  </w14:solidFill>
                </w14:textFill>
              </w:rPr>
              <w:t xml:space="preserve">         工程地质测绘实物工作计费基价表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表</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2</w:t>
            </w:r>
          </w:p>
        </w:tc>
      </w:tr>
      <w:tr>
        <w:tblPrEx>
          <w:shd w:val="clear" w:color="auto" w:fill="auto"/>
          <w:tblLayout w:type="fixed"/>
          <w:tblCellMar>
            <w:top w:w="0" w:type="dxa"/>
            <w:left w:w="0" w:type="dxa"/>
            <w:bottom w:w="0" w:type="dxa"/>
            <w:right w:w="0" w:type="dxa"/>
          </w:tblCellMar>
        </w:tblPrEx>
        <w:trPr>
          <w:trHeight w:val="270" w:hRule="atLeast"/>
        </w:trPr>
        <w:tc>
          <w:tcPr>
            <w:tcW w:w="1044"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序号</w:t>
            </w:r>
          </w:p>
        </w:tc>
        <w:tc>
          <w:tcPr>
            <w:tcW w:w="6884" w:type="dxa"/>
            <w:gridSpan w:val="7"/>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项目</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计费单位</w:t>
            </w:r>
          </w:p>
        </w:tc>
        <w:tc>
          <w:tcPr>
            <w:tcW w:w="505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计费基价（元）</w:t>
            </w:r>
          </w:p>
        </w:tc>
      </w:tr>
      <w:tr>
        <w:tblPrEx>
          <w:shd w:val="clear" w:color="auto" w:fill="auto"/>
          <w:tblLayout w:type="fixed"/>
          <w:tblCellMar>
            <w:top w:w="0" w:type="dxa"/>
            <w:left w:w="0" w:type="dxa"/>
            <w:bottom w:w="0" w:type="dxa"/>
            <w:right w:w="0" w:type="dxa"/>
          </w:tblCellMar>
        </w:tblPrEx>
        <w:trPr>
          <w:trHeight w:val="270" w:hRule="atLeast"/>
        </w:trPr>
        <w:tc>
          <w:tcPr>
            <w:tcW w:w="1044"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6884"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简单</w:t>
            </w: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中等</w:t>
            </w:r>
          </w:p>
        </w:tc>
        <w:tc>
          <w:tcPr>
            <w:tcW w:w="168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复杂</w:t>
            </w:r>
          </w:p>
        </w:tc>
      </w:tr>
      <w:tr>
        <w:tblPrEx>
          <w:tblLayout w:type="fixed"/>
          <w:tblCellMar>
            <w:top w:w="0" w:type="dxa"/>
            <w:left w:w="0" w:type="dxa"/>
            <w:bottom w:w="0" w:type="dxa"/>
            <w:right w:w="0" w:type="dxa"/>
          </w:tblCellMar>
        </w:tblPrEx>
        <w:trPr>
          <w:trHeight w:val="270" w:hRule="atLeast"/>
        </w:trPr>
        <w:tc>
          <w:tcPr>
            <w:tcW w:w="1044"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w:t>
            </w:r>
          </w:p>
        </w:tc>
        <w:tc>
          <w:tcPr>
            <w:tcW w:w="34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工程地质测绘</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成图比例</w:t>
            </w:r>
          </w:p>
        </w:tc>
        <w:tc>
          <w:tcPr>
            <w:tcW w:w="24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1：200</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km2</w:t>
            </w: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11246 </w:t>
            </w: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16065 </w:t>
            </w:r>
          </w:p>
        </w:tc>
        <w:tc>
          <w:tcPr>
            <w:tcW w:w="168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24098 </w:t>
            </w:r>
          </w:p>
        </w:tc>
      </w:tr>
      <w:tr>
        <w:tblPrEx>
          <w:shd w:val="clear" w:color="auto" w:fill="auto"/>
          <w:tblLayout w:type="fixed"/>
          <w:tblCellMar>
            <w:top w:w="0" w:type="dxa"/>
            <w:left w:w="0" w:type="dxa"/>
            <w:bottom w:w="0" w:type="dxa"/>
            <w:right w:w="0" w:type="dxa"/>
          </w:tblCellMar>
        </w:tblPrEx>
        <w:trPr>
          <w:trHeight w:val="270" w:hRule="atLeast"/>
        </w:trPr>
        <w:tc>
          <w:tcPr>
            <w:tcW w:w="1044"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1：500</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5623 </w:t>
            </w: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8033 </w:t>
            </w:r>
          </w:p>
        </w:tc>
        <w:tc>
          <w:tcPr>
            <w:tcW w:w="168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12049 </w:t>
            </w:r>
          </w:p>
        </w:tc>
      </w:tr>
      <w:tr>
        <w:tblPrEx>
          <w:shd w:val="clear" w:color="auto" w:fill="auto"/>
          <w:tblLayout w:type="fixed"/>
          <w:tblCellMar>
            <w:top w:w="0" w:type="dxa"/>
            <w:left w:w="0" w:type="dxa"/>
            <w:bottom w:w="0" w:type="dxa"/>
            <w:right w:w="0" w:type="dxa"/>
          </w:tblCellMar>
        </w:tblPrEx>
        <w:trPr>
          <w:trHeight w:val="270" w:hRule="atLeast"/>
        </w:trPr>
        <w:tc>
          <w:tcPr>
            <w:tcW w:w="1044"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1：1000</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3749 </w:t>
            </w: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5355 </w:t>
            </w:r>
          </w:p>
        </w:tc>
        <w:tc>
          <w:tcPr>
            <w:tcW w:w="168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8033 </w:t>
            </w:r>
          </w:p>
        </w:tc>
      </w:tr>
      <w:tr>
        <w:tblPrEx>
          <w:shd w:val="clear" w:color="auto" w:fill="auto"/>
          <w:tblLayout w:type="fixed"/>
          <w:tblCellMar>
            <w:top w:w="0" w:type="dxa"/>
            <w:left w:w="0" w:type="dxa"/>
            <w:bottom w:w="0" w:type="dxa"/>
            <w:right w:w="0" w:type="dxa"/>
          </w:tblCellMar>
        </w:tblPrEx>
        <w:trPr>
          <w:trHeight w:val="270" w:hRule="atLeast"/>
        </w:trPr>
        <w:tc>
          <w:tcPr>
            <w:tcW w:w="1044"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1：2000</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2499 </w:t>
            </w: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3570 </w:t>
            </w:r>
          </w:p>
        </w:tc>
        <w:tc>
          <w:tcPr>
            <w:tcW w:w="168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5355 </w:t>
            </w:r>
          </w:p>
        </w:tc>
      </w:tr>
      <w:tr>
        <w:tblPrEx>
          <w:tblLayout w:type="fixed"/>
          <w:tblCellMar>
            <w:top w:w="0" w:type="dxa"/>
            <w:left w:w="0" w:type="dxa"/>
            <w:bottom w:w="0" w:type="dxa"/>
            <w:right w:w="0" w:type="dxa"/>
          </w:tblCellMar>
        </w:tblPrEx>
        <w:trPr>
          <w:trHeight w:val="270" w:hRule="atLeast"/>
        </w:trPr>
        <w:tc>
          <w:tcPr>
            <w:tcW w:w="1044"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1：5000</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750 </w:t>
            </w: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1071 </w:t>
            </w:r>
          </w:p>
        </w:tc>
        <w:tc>
          <w:tcPr>
            <w:tcW w:w="168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1607 </w:t>
            </w:r>
          </w:p>
        </w:tc>
      </w:tr>
      <w:tr>
        <w:tblPrEx>
          <w:shd w:val="clear" w:color="auto" w:fill="auto"/>
          <w:tblLayout w:type="fixed"/>
          <w:tblCellMar>
            <w:top w:w="0" w:type="dxa"/>
            <w:left w:w="0" w:type="dxa"/>
            <w:bottom w:w="0" w:type="dxa"/>
            <w:right w:w="0" w:type="dxa"/>
          </w:tblCellMar>
        </w:tblPrEx>
        <w:trPr>
          <w:trHeight w:val="270" w:hRule="atLeast"/>
        </w:trPr>
        <w:tc>
          <w:tcPr>
            <w:tcW w:w="1044"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1：10000</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375 </w:t>
            </w: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536 </w:t>
            </w:r>
          </w:p>
        </w:tc>
        <w:tc>
          <w:tcPr>
            <w:tcW w:w="168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804 </w:t>
            </w:r>
          </w:p>
        </w:tc>
      </w:tr>
      <w:tr>
        <w:tblPrEx>
          <w:tblLayout w:type="fixed"/>
          <w:tblCellMar>
            <w:top w:w="0" w:type="dxa"/>
            <w:left w:w="0" w:type="dxa"/>
            <w:bottom w:w="0" w:type="dxa"/>
            <w:right w:w="0" w:type="dxa"/>
          </w:tblCellMar>
        </w:tblPrEx>
        <w:trPr>
          <w:trHeight w:val="270" w:hRule="atLeast"/>
        </w:trPr>
        <w:tc>
          <w:tcPr>
            <w:tcW w:w="1044"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1：25000</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188 </w:t>
            </w: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268 </w:t>
            </w:r>
          </w:p>
        </w:tc>
        <w:tc>
          <w:tcPr>
            <w:tcW w:w="168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402 </w:t>
            </w:r>
          </w:p>
        </w:tc>
      </w:tr>
      <w:tr>
        <w:tblPrEx>
          <w:shd w:val="clear" w:color="auto" w:fill="auto"/>
          <w:tblLayout w:type="fixed"/>
          <w:tblCellMar>
            <w:top w:w="0" w:type="dxa"/>
            <w:left w:w="0" w:type="dxa"/>
            <w:bottom w:w="0" w:type="dxa"/>
            <w:right w:w="0" w:type="dxa"/>
          </w:tblCellMar>
        </w:tblPrEx>
        <w:trPr>
          <w:trHeight w:val="270" w:hRule="atLeast"/>
        </w:trPr>
        <w:tc>
          <w:tcPr>
            <w:tcW w:w="1044"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4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1：50000</w:t>
            </w: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94 </w:t>
            </w:r>
          </w:p>
        </w:tc>
        <w:tc>
          <w:tcPr>
            <w:tcW w:w="16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134 </w:t>
            </w:r>
          </w:p>
        </w:tc>
        <w:tc>
          <w:tcPr>
            <w:tcW w:w="168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201 </w:t>
            </w:r>
          </w:p>
        </w:tc>
      </w:tr>
      <w:tr>
        <w:tblPrEx>
          <w:tblLayout w:type="fixed"/>
          <w:tblCellMar>
            <w:top w:w="0" w:type="dxa"/>
            <w:left w:w="0" w:type="dxa"/>
            <w:bottom w:w="0" w:type="dxa"/>
            <w:right w:w="0" w:type="dxa"/>
          </w:tblCellMar>
        </w:tblPrEx>
        <w:trPr>
          <w:trHeight w:val="270" w:hRule="atLeast"/>
        </w:trPr>
        <w:tc>
          <w:tcPr>
            <w:tcW w:w="104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w:t>
            </w:r>
          </w:p>
        </w:tc>
        <w:tc>
          <w:tcPr>
            <w:tcW w:w="344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带状工程地质测绘</w:t>
            </w:r>
          </w:p>
        </w:tc>
        <w:tc>
          <w:tcPr>
            <w:tcW w:w="9496"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附加调整系数为1.3</w:t>
            </w:r>
          </w:p>
        </w:tc>
      </w:tr>
      <w:tr>
        <w:tblPrEx>
          <w:shd w:val="clear" w:color="auto" w:fill="auto"/>
          <w:tblLayout w:type="fixed"/>
          <w:tblCellMar>
            <w:top w:w="0" w:type="dxa"/>
            <w:left w:w="0" w:type="dxa"/>
            <w:bottom w:w="0" w:type="dxa"/>
            <w:right w:w="0" w:type="dxa"/>
          </w:tblCellMar>
        </w:tblPrEx>
        <w:trPr>
          <w:trHeight w:val="540" w:hRule="atLeast"/>
        </w:trPr>
        <w:tc>
          <w:tcPr>
            <w:tcW w:w="1044"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w:t>
            </w:r>
          </w:p>
        </w:tc>
        <w:tc>
          <w:tcPr>
            <w:tcW w:w="344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工程地质测绘与地质测绘同时进行</w:t>
            </w:r>
          </w:p>
        </w:tc>
        <w:tc>
          <w:tcPr>
            <w:tcW w:w="9496"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 附加调整系数为1.5</w:t>
            </w:r>
          </w:p>
        </w:tc>
      </w:tr>
      <w:tr>
        <w:tblPrEx>
          <w:shd w:val="clear" w:color="auto" w:fill="auto"/>
          <w:tblLayout w:type="fixed"/>
          <w:tblCellMar>
            <w:top w:w="0" w:type="dxa"/>
            <w:left w:w="0" w:type="dxa"/>
            <w:bottom w:w="0" w:type="dxa"/>
            <w:right w:w="0" w:type="dxa"/>
          </w:tblCellMar>
        </w:tblPrEx>
        <w:trPr>
          <w:trHeight w:val="540" w:hRule="atLeast"/>
        </w:trPr>
        <w:tc>
          <w:tcPr>
            <w:tcW w:w="13988" w:type="dxa"/>
            <w:gridSpan w:val="14"/>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lang w:bidi="ar"/>
                <w14:textFill>
                  <w14:solidFill>
                    <w14:schemeClr w14:val="tx1"/>
                  </w14:solidFill>
                </w14:textFill>
              </w:rPr>
              <w:t xml:space="preserve">                岩土工程勘探与原位测试复杂程度表</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 xml:space="preserve">                      表</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3</w:t>
            </w:r>
          </w:p>
        </w:tc>
      </w:tr>
      <w:tr>
        <w:tblPrEx>
          <w:shd w:val="clear" w:color="auto" w:fill="auto"/>
          <w:tblLayout w:type="fixed"/>
          <w:tblCellMar>
            <w:top w:w="0" w:type="dxa"/>
            <w:left w:w="0" w:type="dxa"/>
            <w:bottom w:w="0" w:type="dxa"/>
            <w:right w:w="0" w:type="dxa"/>
          </w:tblCellMar>
        </w:tblPrEx>
        <w:trPr>
          <w:trHeight w:val="1082" w:hRule="atLeast"/>
        </w:trPr>
        <w:tc>
          <w:tcPr>
            <w:tcW w:w="1497" w:type="dxa"/>
            <w:gridSpan w:val="2"/>
            <w:tcBorders>
              <w:top w:val="single" w:color="000000" w:sz="8"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岩土类别</w:t>
            </w:r>
          </w:p>
        </w:tc>
        <w:tc>
          <w:tcPr>
            <w:tcW w:w="1931"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I</w:t>
            </w:r>
          </w:p>
        </w:tc>
        <w:tc>
          <w:tcPr>
            <w:tcW w:w="2113"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II</w:t>
            </w:r>
          </w:p>
        </w:tc>
        <w:tc>
          <w:tcPr>
            <w:tcW w:w="1931"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III</w:t>
            </w:r>
          </w:p>
        </w:tc>
        <w:tc>
          <w:tcPr>
            <w:tcW w:w="2112"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IV</w:t>
            </w:r>
          </w:p>
        </w:tc>
        <w:tc>
          <w:tcPr>
            <w:tcW w:w="2202"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V</w:t>
            </w:r>
          </w:p>
        </w:tc>
        <w:tc>
          <w:tcPr>
            <w:tcW w:w="2202" w:type="dxa"/>
            <w:gridSpan w:val="2"/>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VI</w:t>
            </w:r>
          </w:p>
        </w:tc>
      </w:tr>
      <w:tr>
        <w:tblPrEx>
          <w:tblLayout w:type="fixed"/>
          <w:tblCellMar>
            <w:top w:w="0" w:type="dxa"/>
            <w:left w:w="0" w:type="dxa"/>
            <w:bottom w:w="0" w:type="dxa"/>
            <w:right w:w="0" w:type="dxa"/>
          </w:tblCellMar>
        </w:tblPrEx>
        <w:trPr>
          <w:trHeight w:val="2681" w:hRule="atLeast"/>
        </w:trPr>
        <w:tc>
          <w:tcPr>
            <w:tcW w:w="1497"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松散地层</w:t>
            </w:r>
          </w:p>
        </w:tc>
        <w:tc>
          <w:tcPr>
            <w:tcW w:w="1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流塑、软塑、可塑粘性土，稍密、中密粉土，含硬杂质≤10%的填土</w:t>
            </w:r>
          </w:p>
        </w:tc>
        <w:tc>
          <w:tcPr>
            <w:tcW w:w="211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硬塑、坚硬粘性土，密实粉土，含硬杂质≤25%的填土，湿陷性土，红粉土，膨胀土，盐渍土，残积土，污染土</w:t>
            </w:r>
          </w:p>
        </w:tc>
        <w:tc>
          <w:tcPr>
            <w:tcW w:w="1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砂土，砾石，混合土，多年冻土，含硬杂质＞25%的填土</w:t>
            </w:r>
          </w:p>
        </w:tc>
        <w:tc>
          <w:tcPr>
            <w:tcW w:w="211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粒径≤50mm、含量＞50%的卵（碎）石层</w:t>
            </w:r>
          </w:p>
        </w:tc>
        <w:tc>
          <w:tcPr>
            <w:tcW w:w="220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粒径≤100mm、含量＞50%的卵（碎）石层，混凝土构件、面层</w:t>
            </w:r>
          </w:p>
        </w:tc>
        <w:tc>
          <w:tcPr>
            <w:tcW w:w="2202"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粒径＞100mm、含量＞50%的卵（碎）石层，漂（块）石层</w:t>
            </w:r>
          </w:p>
        </w:tc>
      </w:tr>
      <w:tr>
        <w:tblPrEx>
          <w:shd w:val="clear" w:color="auto" w:fill="auto"/>
          <w:tblLayout w:type="fixed"/>
          <w:tblCellMar>
            <w:top w:w="0" w:type="dxa"/>
            <w:left w:w="0" w:type="dxa"/>
            <w:bottom w:w="0" w:type="dxa"/>
            <w:right w:w="0" w:type="dxa"/>
          </w:tblCellMar>
        </w:tblPrEx>
        <w:trPr>
          <w:trHeight w:val="763" w:hRule="atLeast"/>
        </w:trPr>
        <w:tc>
          <w:tcPr>
            <w:tcW w:w="1497" w:type="dxa"/>
            <w:gridSpan w:val="2"/>
            <w:tcBorders>
              <w:top w:val="single" w:color="000000" w:sz="4" w:space="0"/>
              <w:left w:val="nil"/>
              <w:bottom w:val="single" w:color="000000" w:sz="8"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岩石地层</w:t>
            </w:r>
          </w:p>
        </w:tc>
        <w:tc>
          <w:tcPr>
            <w:tcW w:w="1931"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113" w:type="dxa"/>
            <w:gridSpan w:val="3"/>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极软岩</w:t>
            </w:r>
          </w:p>
        </w:tc>
        <w:tc>
          <w:tcPr>
            <w:tcW w:w="1931"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软岩</w:t>
            </w:r>
          </w:p>
        </w:tc>
        <w:tc>
          <w:tcPr>
            <w:tcW w:w="2112" w:type="dxa"/>
            <w:gridSpan w:val="3"/>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较软岩</w:t>
            </w:r>
          </w:p>
        </w:tc>
        <w:tc>
          <w:tcPr>
            <w:tcW w:w="2202" w:type="dxa"/>
            <w:gridSpan w:val="2"/>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较硬岩</w:t>
            </w:r>
          </w:p>
        </w:tc>
        <w:tc>
          <w:tcPr>
            <w:tcW w:w="2202" w:type="dxa"/>
            <w:gridSpan w:val="2"/>
            <w:tcBorders>
              <w:top w:val="single" w:color="000000" w:sz="4" w:space="0"/>
              <w:left w:val="single" w:color="000000" w:sz="4" w:space="0"/>
              <w:bottom w:val="single" w:color="000000" w:sz="8" w:space="0"/>
              <w:right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坚硬岩</w:t>
            </w:r>
          </w:p>
        </w:tc>
      </w:tr>
    </w:tbl>
    <w:p>
      <w:pPr>
        <w:ind w:firstLine="560" w:firstLineChars="20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sectPr>
          <w:pgSz w:w="16838" w:h="11906" w:orient="landscape"/>
          <w:pgMar w:top="1800" w:right="1440" w:bottom="1800" w:left="144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br w:type="page"/>
      </w:r>
    </w:p>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p>
    <w:tbl>
      <w:tblPr>
        <w:tblStyle w:val="11"/>
        <w:tblW w:w="8850" w:type="dxa"/>
        <w:tblInd w:w="0" w:type="dxa"/>
        <w:tblLayout w:type="fixed"/>
        <w:tblCellMar>
          <w:top w:w="0" w:type="dxa"/>
          <w:left w:w="0" w:type="dxa"/>
          <w:bottom w:w="0" w:type="dxa"/>
          <w:right w:w="0" w:type="dxa"/>
        </w:tblCellMar>
      </w:tblPr>
      <w:tblGrid>
        <w:gridCol w:w="4043"/>
        <w:gridCol w:w="4807"/>
      </w:tblGrid>
      <w:tr>
        <w:tblPrEx>
          <w:tblLayout w:type="fixed"/>
          <w:tblCellMar>
            <w:top w:w="0" w:type="dxa"/>
            <w:left w:w="0" w:type="dxa"/>
            <w:bottom w:w="0" w:type="dxa"/>
            <w:right w:w="0" w:type="dxa"/>
          </w:tblCellMar>
        </w:tblPrEx>
        <w:trPr>
          <w:trHeight w:val="580" w:hRule="atLeast"/>
        </w:trPr>
        <w:tc>
          <w:tcPr>
            <w:tcW w:w="8850" w:type="dxa"/>
            <w:gridSpan w:val="2"/>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4"/>
                <w:szCs w:val="24"/>
                <w:highlight w:val="none"/>
                <w:lang w:bidi="ar"/>
                <w14:textFill>
                  <w14:solidFill>
                    <w14:schemeClr w14:val="tx1"/>
                  </w14:solidFill>
                </w14:textFill>
              </w:rPr>
              <w:t xml:space="preserve">              岩土工程勘察技术工作费计费比例表</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 xml:space="preserve">              表</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4</w:t>
            </w:r>
          </w:p>
        </w:tc>
      </w:tr>
      <w:tr>
        <w:tblPrEx>
          <w:tblLayout w:type="fixed"/>
          <w:tblCellMar>
            <w:top w:w="0" w:type="dxa"/>
            <w:left w:w="0" w:type="dxa"/>
            <w:bottom w:w="0" w:type="dxa"/>
            <w:right w:w="0" w:type="dxa"/>
          </w:tblCellMar>
        </w:tblPrEx>
        <w:trPr>
          <w:trHeight w:val="360" w:hRule="atLeast"/>
        </w:trPr>
        <w:tc>
          <w:tcPr>
            <w:tcW w:w="4043" w:type="dxa"/>
            <w:tcBorders>
              <w:top w:val="single" w:color="000000" w:sz="8" w:space="0"/>
              <w:left w:val="nil"/>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岩土工程勘察等级</w:t>
            </w:r>
          </w:p>
        </w:tc>
        <w:tc>
          <w:tcPr>
            <w:tcW w:w="4807" w:type="dxa"/>
            <w:tcBorders>
              <w:top w:val="single" w:color="000000" w:sz="8" w:space="0"/>
              <w:left w:val="nil"/>
              <w:bottom w:val="nil"/>
              <w:right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技术工作费计费比例（%）</w:t>
            </w:r>
          </w:p>
        </w:tc>
      </w:tr>
      <w:tr>
        <w:tblPrEx>
          <w:tblLayout w:type="fixed"/>
          <w:tblCellMar>
            <w:top w:w="0" w:type="dxa"/>
            <w:left w:w="0" w:type="dxa"/>
            <w:bottom w:w="0" w:type="dxa"/>
            <w:right w:w="0" w:type="dxa"/>
          </w:tblCellMar>
        </w:tblPrEx>
        <w:trPr>
          <w:trHeight w:val="360" w:hRule="atLeast"/>
        </w:trPr>
        <w:tc>
          <w:tcPr>
            <w:tcW w:w="40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甲级</w:t>
            </w:r>
          </w:p>
        </w:tc>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120</w:t>
            </w:r>
          </w:p>
        </w:tc>
      </w:tr>
      <w:tr>
        <w:tblPrEx>
          <w:tblLayout w:type="fixed"/>
          <w:tblCellMar>
            <w:top w:w="0" w:type="dxa"/>
            <w:left w:w="0" w:type="dxa"/>
            <w:bottom w:w="0" w:type="dxa"/>
            <w:right w:w="0" w:type="dxa"/>
          </w:tblCellMar>
        </w:tblPrEx>
        <w:trPr>
          <w:trHeight w:val="360" w:hRule="atLeast"/>
        </w:trPr>
        <w:tc>
          <w:tcPr>
            <w:tcW w:w="404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乙级</w:t>
            </w:r>
          </w:p>
        </w:tc>
        <w:tc>
          <w:tcPr>
            <w:tcW w:w="480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100</w:t>
            </w:r>
          </w:p>
        </w:tc>
      </w:tr>
      <w:tr>
        <w:tblPrEx>
          <w:tblLayout w:type="fixed"/>
          <w:tblCellMar>
            <w:top w:w="0" w:type="dxa"/>
            <w:left w:w="0" w:type="dxa"/>
            <w:bottom w:w="0" w:type="dxa"/>
            <w:right w:w="0" w:type="dxa"/>
          </w:tblCellMar>
        </w:tblPrEx>
        <w:trPr>
          <w:trHeight w:val="360" w:hRule="atLeast"/>
        </w:trPr>
        <w:tc>
          <w:tcPr>
            <w:tcW w:w="4043" w:type="dxa"/>
            <w:tcBorders>
              <w:top w:val="nil"/>
              <w:left w:val="nil"/>
              <w:bottom w:val="single" w:color="000000" w:sz="8"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丙级</w:t>
            </w:r>
          </w:p>
        </w:tc>
        <w:tc>
          <w:tcPr>
            <w:tcW w:w="4807" w:type="dxa"/>
            <w:tcBorders>
              <w:top w:val="nil"/>
              <w:left w:val="nil"/>
              <w:bottom w:val="single" w:color="000000" w:sz="8" w:space="0"/>
              <w:right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80</w:t>
            </w:r>
          </w:p>
        </w:tc>
      </w:tr>
      <w:tr>
        <w:tblPrEx>
          <w:tblLayout w:type="fixed"/>
          <w:tblCellMar>
            <w:top w:w="0" w:type="dxa"/>
            <w:left w:w="0" w:type="dxa"/>
            <w:bottom w:w="0" w:type="dxa"/>
            <w:right w:w="0" w:type="dxa"/>
          </w:tblCellMar>
        </w:tblPrEx>
        <w:trPr>
          <w:trHeight w:val="270" w:hRule="atLeast"/>
        </w:trPr>
        <w:tc>
          <w:tcPr>
            <w:tcW w:w="8850" w:type="dxa"/>
            <w:gridSpan w:val="2"/>
            <w:tcBorders>
              <w:top w:val="nil"/>
              <w:left w:val="nil"/>
              <w:bottom w:val="nil"/>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注：1.岩土工程勘察等级见国标《岩土工程勘察规范》</w:t>
            </w:r>
          </w:p>
        </w:tc>
      </w:tr>
      <w:tr>
        <w:tblPrEx>
          <w:tblLayout w:type="fixed"/>
          <w:tblCellMar>
            <w:top w:w="0" w:type="dxa"/>
            <w:left w:w="0" w:type="dxa"/>
            <w:bottom w:w="0" w:type="dxa"/>
            <w:right w:w="0" w:type="dxa"/>
          </w:tblCellMar>
        </w:tblPrEx>
        <w:trPr>
          <w:trHeight w:val="540" w:hRule="atLeast"/>
        </w:trPr>
        <w:tc>
          <w:tcPr>
            <w:tcW w:w="8850" w:type="dxa"/>
            <w:gridSpan w:val="2"/>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 xml:space="preserve">    2.利用已有勘察资料提出勘察报告的只计取计算工作费，技术工作费的计费基数为所利用勘查资料的实物工作计费额</w:t>
            </w:r>
          </w:p>
        </w:tc>
      </w:tr>
    </w:tbl>
    <w:p>
      <w:pPr>
        <w:ind w:firstLine="560" w:firstLineChars="20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p>
    <w:tbl>
      <w:tblPr>
        <w:tblStyle w:val="11"/>
        <w:tblW w:w="8855" w:type="dxa"/>
        <w:tblInd w:w="0" w:type="dxa"/>
        <w:tblBorders>
          <w:top w:val="none" w:color="auto" w:sz="0" w:space="0"/>
          <w:left w:val="single" w:color="000000" w:sz="4" w:space="0"/>
          <w:bottom w:val="single" w:color="000000" w:sz="4" w:space="0"/>
          <w:right w:val="none" w:color="auto" w:sz="0" w:space="0"/>
          <w:insideH w:val="none" w:color="auto" w:sz="0" w:space="0"/>
          <w:insideV w:val="single" w:color="000000" w:sz="4" w:space="0"/>
        </w:tblBorders>
        <w:tblLayout w:type="fixed"/>
        <w:tblCellMar>
          <w:top w:w="0" w:type="dxa"/>
          <w:left w:w="0" w:type="dxa"/>
          <w:bottom w:w="0" w:type="dxa"/>
          <w:right w:w="0" w:type="dxa"/>
        </w:tblCellMar>
      </w:tblPr>
      <w:tblGrid>
        <w:gridCol w:w="357"/>
        <w:gridCol w:w="683"/>
        <w:gridCol w:w="1675"/>
        <w:gridCol w:w="609"/>
        <w:gridCol w:w="2516"/>
        <w:gridCol w:w="1067"/>
        <w:gridCol w:w="964"/>
        <w:gridCol w:w="984"/>
      </w:tblGrid>
      <w:tr>
        <w:tblPrEx>
          <w:tblBorders>
            <w:top w:val="none" w:color="auto" w:sz="0" w:space="0"/>
            <w:left w:val="single" w:color="000000" w:sz="4" w:space="0"/>
            <w:bottom w:val="single" w:color="000000" w:sz="4"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540" w:hRule="atLeast"/>
        </w:trPr>
        <w:tc>
          <w:tcPr>
            <w:tcW w:w="8855" w:type="dxa"/>
            <w:gridSpan w:val="8"/>
            <w:tcBorders>
              <w:left w:val="nil"/>
              <w:bottom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lang w:bidi="ar"/>
                <w14:textFill>
                  <w14:solidFill>
                    <w14:schemeClr w14:val="tx1"/>
                  </w14:solidFill>
                </w14:textFill>
              </w:rPr>
              <w:t xml:space="preserve">           岩土工程勘探实物工作计费基价表</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 xml:space="preserve">              表</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5</w:t>
            </w:r>
          </w:p>
        </w:tc>
      </w:tr>
      <w:tr>
        <w:tblPrEx>
          <w:tblBorders>
            <w:top w:val="none" w:color="auto" w:sz="0" w:space="0"/>
            <w:left w:val="single" w:color="000000" w:sz="4" w:space="0"/>
            <w:bottom w:val="single" w:color="000000" w:sz="4"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460" w:hRule="atLeast"/>
        </w:trPr>
        <w:tc>
          <w:tcPr>
            <w:tcW w:w="357" w:type="dxa"/>
            <w:vMerge w:val="restart"/>
            <w:tcBorders>
              <w:top w:val="single" w:color="auto" w:sz="4" w:space="0"/>
              <w:left w:val="nil"/>
              <w:bottom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Style w:val="26"/>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序号</w:t>
            </w:r>
          </w:p>
        </w:tc>
        <w:tc>
          <w:tcPr>
            <w:tcW w:w="2358" w:type="dxa"/>
            <w:gridSpan w:val="2"/>
            <w:tcBorders>
              <w:top w:val="single" w:color="auto" w:sz="4" w:space="0"/>
              <w:bottom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Style w:val="26"/>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项目</w:t>
            </w:r>
          </w:p>
        </w:tc>
        <w:tc>
          <w:tcPr>
            <w:tcW w:w="609" w:type="dxa"/>
            <w:vMerge w:val="restart"/>
            <w:tcBorders>
              <w:top w:val="single" w:color="auto" w:sz="4" w:space="0"/>
              <w:bottom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Style w:val="26"/>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计费单位</w:t>
            </w:r>
          </w:p>
        </w:tc>
        <w:tc>
          <w:tcPr>
            <w:tcW w:w="5531" w:type="dxa"/>
            <w:gridSpan w:val="4"/>
            <w:tcBorders>
              <w:top w:val="single" w:color="auto" w:sz="4" w:space="0"/>
              <w:bottom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Style w:val="26"/>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计费计价（元）</w:t>
            </w:r>
          </w:p>
        </w:tc>
      </w:tr>
      <w:tr>
        <w:tblPrEx>
          <w:tblBorders>
            <w:top w:val="none" w:color="auto" w:sz="0" w:space="0"/>
            <w:left w:val="single" w:color="000000" w:sz="4" w:space="0"/>
            <w:bottom w:val="single" w:color="000000" w:sz="4"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940" w:hRule="atLeast"/>
        </w:trPr>
        <w:tc>
          <w:tcPr>
            <w:tcW w:w="357" w:type="dxa"/>
            <w:vMerge w:val="continue"/>
            <w:tcBorders>
              <w:top w:val="single" w:color="auto" w:sz="4" w:space="0"/>
              <w:left w:val="nil"/>
              <w:bottom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683" w:type="dxa"/>
            <w:tcBorders>
              <w:top w:val="single" w:color="auto" w:sz="4" w:space="0"/>
              <w:bottom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Style w:val="26"/>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勘探项目</w:t>
            </w:r>
          </w:p>
        </w:tc>
        <w:tc>
          <w:tcPr>
            <w:tcW w:w="1675" w:type="dxa"/>
            <w:tcBorders>
              <w:top w:val="single" w:color="auto" w:sz="4" w:space="0"/>
              <w:bottom w:val="single" w:color="auto"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Style w:val="26"/>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深度</w:t>
            </w:r>
            <w:r>
              <w:rPr>
                <w:rStyle w:val="34"/>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D</w:t>
            </w:r>
            <w:r>
              <w:rPr>
                <w:rStyle w:val="26"/>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w:t>
            </w:r>
            <w:r>
              <w:rPr>
                <w:rStyle w:val="34"/>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m</w:t>
            </w:r>
            <w:r>
              <w:rPr>
                <w:rStyle w:val="26"/>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w:t>
            </w:r>
            <w:r>
              <w:rPr>
                <w:rStyle w:val="34"/>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w:t>
            </w:r>
            <w:r>
              <w:rPr>
                <w:rStyle w:val="26"/>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长度</w:t>
            </w:r>
            <w:r>
              <w:rPr>
                <w:rStyle w:val="34"/>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L</w:t>
            </w:r>
            <w:r>
              <w:rPr>
                <w:rStyle w:val="26"/>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w:t>
            </w:r>
            <w:r>
              <w:rPr>
                <w:rStyle w:val="34"/>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m</w:t>
            </w:r>
            <w:r>
              <w:rPr>
                <w:rStyle w:val="26"/>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w:t>
            </w:r>
          </w:p>
        </w:tc>
        <w:tc>
          <w:tcPr>
            <w:tcW w:w="609" w:type="dxa"/>
            <w:vMerge w:val="continue"/>
            <w:tcBorders>
              <w:top w:val="single" w:color="auto" w:sz="4" w:space="0"/>
              <w:bottom w:val="single" w:color="auto"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516" w:type="dxa"/>
            <w:tcBorders>
              <w:top w:val="single" w:color="auto" w:sz="4" w:space="0"/>
              <w:bottom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I</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II  III</w:t>
            </w:r>
          </w:p>
        </w:tc>
        <w:tc>
          <w:tcPr>
            <w:tcW w:w="1067" w:type="dxa"/>
            <w:tcBorders>
              <w:top w:val="single" w:color="auto" w:sz="4" w:space="0"/>
              <w:bottom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IV</w:t>
            </w:r>
          </w:p>
        </w:tc>
        <w:tc>
          <w:tcPr>
            <w:tcW w:w="964" w:type="dxa"/>
            <w:tcBorders>
              <w:top w:val="single" w:color="auto" w:sz="4" w:space="0"/>
              <w:bottom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V</w:t>
            </w:r>
          </w:p>
        </w:tc>
        <w:tc>
          <w:tcPr>
            <w:tcW w:w="984" w:type="dxa"/>
            <w:tcBorders>
              <w:top w:val="single" w:color="auto" w:sz="4" w:space="0"/>
              <w:bottom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VI</w:t>
            </w:r>
          </w:p>
        </w:tc>
      </w:tr>
      <w:tr>
        <w:tblPrEx>
          <w:tblBorders>
            <w:top w:val="none" w:color="auto" w:sz="0" w:space="0"/>
            <w:left w:val="single" w:color="000000" w:sz="4" w:space="0"/>
            <w:bottom w:val="single" w:color="000000" w:sz="4"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360" w:hRule="atLeast"/>
        </w:trPr>
        <w:tc>
          <w:tcPr>
            <w:tcW w:w="357" w:type="dxa"/>
            <w:vMerge w:val="restart"/>
            <w:tcBorders>
              <w:top w:val="single" w:color="000000" w:sz="4" w:space="0"/>
              <w:left w:val="nil"/>
            </w:tcBorders>
            <w:shd w:val="clear" w:color="auto" w:fill="auto"/>
            <w:noWrap/>
            <w:tcMar>
              <w:top w:w="15" w:type="dxa"/>
              <w:left w:w="15" w:type="dxa"/>
              <w:right w:w="15" w:type="dxa"/>
            </w:tcMar>
            <w:vAlign w:val="center"/>
          </w:tcPr>
          <w:p>
            <w:pPr>
              <w:jc w:val="center"/>
              <w:textAlignment w:val="cente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w:t>
            </w:r>
          </w:p>
        </w:tc>
        <w:tc>
          <w:tcPr>
            <w:tcW w:w="683" w:type="dxa"/>
            <w:vMerge w:val="restart"/>
            <w:tcBorders>
              <w:top w:val="single" w:color="auto" w:sz="4" w:space="0"/>
              <w:tl2br w:val="nil"/>
              <w:tr2bl w:val="nil"/>
            </w:tcBorders>
            <w:shd w:val="clear" w:color="auto" w:fill="auto"/>
            <w:noWrap/>
            <w:tcMar>
              <w:top w:w="15" w:type="dxa"/>
              <w:left w:w="15" w:type="dxa"/>
              <w:right w:w="15" w:type="dxa"/>
            </w:tcMar>
            <w:vAlign w:val="center"/>
          </w:tcPr>
          <w:p>
            <w:pPr>
              <w:jc w:val="center"/>
              <w:textAlignment w:val="center"/>
              <w:rPr>
                <w:rStyle w:val="26"/>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pPr>
            <w:r>
              <w:rPr>
                <w:rStyle w:val="26"/>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钻孔</w:t>
            </w:r>
          </w:p>
        </w:tc>
        <w:tc>
          <w:tcPr>
            <w:tcW w:w="1675" w:type="dxa"/>
            <w:tcBorders>
              <w:top w:val="single" w:color="auto" w:sz="4" w:space="0"/>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0</w:t>
            </w:r>
            <w:r>
              <w:rPr>
                <w:rStyle w:val="26"/>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D≤10</w:t>
            </w:r>
          </w:p>
        </w:tc>
        <w:tc>
          <w:tcPr>
            <w:tcW w:w="609" w:type="dxa"/>
            <w:vMerge w:val="restart"/>
            <w:tcBorders>
              <w:top w:val="single" w:color="auto" w:sz="4" w:space="0"/>
              <w:tl2br w:val="nil"/>
              <w:tr2bl w:val="nil"/>
            </w:tcBorders>
            <w:shd w:val="clear" w:color="auto" w:fill="auto"/>
            <w:noWrap/>
            <w:tcMar>
              <w:top w:w="15" w:type="dxa"/>
              <w:left w:w="15" w:type="dxa"/>
              <w:right w:w="15" w:type="dxa"/>
            </w:tcMar>
            <w:vAlign w:val="center"/>
          </w:tcPr>
          <w:p>
            <w:pPr>
              <w:jc w:val="center"/>
              <w:textAlignment w:val="cente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m</w:t>
            </w:r>
          </w:p>
        </w:tc>
        <w:tc>
          <w:tcPr>
            <w:tcW w:w="2516" w:type="dxa"/>
            <w:tcBorders>
              <w:top w:val="single" w:color="auto" w:sz="4" w:space="0"/>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52</w:t>
            </w:r>
          </w:p>
        </w:tc>
        <w:tc>
          <w:tcPr>
            <w:tcW w:w="1067" w:type="dxa"/>
            <w:tcBorders>
              <w:top w:val="single" w:color="auto" w:sz="4" w:space="0"/>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134</w:t>
            </w:r>
          </w:p>
        </w:tc>
        <w:tc>
          <w:tcPr>
            <w:tcW w:w="964" w:type="dxa"/>
            <w:tcBorders>
              <w:top w:val="single" w:color="auto" w:sz="4" w:space="0"/>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195</w:t>
            </w:r>
          </w:p>
        </w:tc>
        <w:tc>
          <w:tcPr>
            <w:tcW w:w="984" w:type="dxa"/>
            <w:tcBorders>
              <w:top w:val="single" w:color="auto" w:sz="4" w:space="0"/>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249</w:t>
            </w:r>
          </w:p>
        </w:tc>
      </w:tr>
      <w:tr>
        <w:tblPrEx>
          <w:tblBorders>
            <w:top w:val="none" w:color="auto" w:sz="0" w:space="0"/>
            <w:left w:val="single" w:color="000000" w:sz="4" w:space="0"/>
            <w:bottom w:val="single" w:color="000000" w:sz="4"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360" w:hRule="atLeast"/>
        </w:trPr>
        <w:tc>
          <w:tcPr>
            <w:tcW w:w="357" w:type="dxa"/>
            <w:vMerge w:val="continue"/>
            <w:tcBorders>
              <w:left w:val="nil"/>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683" w:type="dxa"/>
            <w:vMerge w:val="continue"/>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675"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10</w:t>
            </w:r>
            <w:r>
              <w:rPr>
                <w:rStyle w:val="26"/>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D≤30</w:t>
            </w:r>
          </w:p>
        </w:tc>
        <w:tc>
          <w:tcPr>
            <w:tcW w:w="609" w:type="dxa"/>
            <w:vMerge w:val="continue"/>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51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64</w:t>
            </w:r>
          </w:p>
        </w:tc>
        <w:tc>
          <w:tcPr>
            <w:tcW w:w="1067"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185</w:t>
            </w:r>
          </w:p>
        </w:tc>
        <w:tc>
          <w:tcPr>
            <w:tcW w:w="964"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269</w:t>
            </w:r>
          </w:p>
        </w:tc>
        <w:tc>
          <w:tcPr>
            <w:tcW w:w="984"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341</w:t>
            </w:r>
          </w:p>
        </w:tc>
      </w:tr>
      <w:tr>
        <w:tblPrEx>
          <w:tblBorders>
            <w:top w:val="none" w:color="auto" w:sz="0" w:space="0"/>
            <w:left w:val="single" w:color="000000" w:sz="4" w:space="0"/>
            <w:bottom w:val="single" w:color="000000" w:sz="4"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360" w:hRule="atLeast"/>
        </w:trPr>
        <w:tc>
          <w:tcPr>
            <w:tcW w:w="357" w:type="dxa"/>
            <w:vMerge w:val="continue"/>
            <w:tcBorders>
              <w:left w:val="nil"/>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683"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675"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30＜D≤50</w:t>
            </w:r>
          </w:p>
        </w:tc>
        <w:tc>
          <w:tcPr>
            <w:tcW w:w="609"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516"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90</w:t>
            </w:r>
          </w:p>
        </w:tc>
        <w:tc>
          <w:tcPr>
            <w:tcW w:w="1067"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262</w:t>
            </w:r>
          </w:p>
        </w:tc>
        <w:tc>
          <w:tcPr>
            <w:tcW w:w="964"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446</w:t>
            </w:r>
          </w:p>
        </w:tc>
        <w:tc>
          <w:tcPr>
            <w:tcW w:w="984" w:type="dxa"/>
            <w:tcBorders>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483</w:t>
            </w:r>
          </w:p>
        </w:tc>
      </w:tr>
      <w:tr>
        <w:tblPrEx>
          <w:tblBorders>
            <w:top w:val="none" w:color="auto" w:sz="0" w:space="0"/>
            <w:left w:val="single" w:color="000000" w:sz="4" w:space="0"/>
            <w:bottom w:val="single" w:color="000000" w:sz="4"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360" w:hRule="atLeast"/>
        </w:trPr>
        <w:tc>
          <w:tcPr>
            <w:tcW w:w="357" w:type="dxa"/>
            <w:vMerge w:val="continue"/>
            <w:tcBorders>
              <w:left w:val="nil"/>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683"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675" w:type="dxa"/>
            <w:tcBorders>
              <w:bottom w:val="single" w:color="000000" w:sz="4" w:space="0"/>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50＜D≤80</w:t>
            </w:r>
          </w:p>
        </w:tc>
        <w:tc>
          <w:tcPr>
            <w:tcW w:w="609" w:type="dxa"/>
            <w:vMerge w:val="continue"/>
            <w:tcBorders>
              <w:bottom w:val="single" w:color="000000" w:sz="4" w:space="0"/>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516" w:type="dxa"/>
            <w:tcBorders>
              <w:bottom w:val="single" w:color="000000" w:sz="4" w:space="0"/>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109</w:t>
            </w:r>
          </w:p>
        </w:tc>
        <w:tc>
          <w:tcPr>
            <w:tcW w:w="1067" w:type="dxa"/>
            <w:tcBorders>
              <w:bottom w:val="single" w:color="000000" w:sz="4" w:space="0"/>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319</w:t>
            </w:r>
          </w:p>
        </w:tc>
        <w:tc>
          <w:tcPr>
            <w:tcW w:w="964" w:type="dxa"/>
            <w:tcBorders>
              <w:bottom w:val="single" w:color="000000" w:sz="4" w:space="0"/>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464</w:t>
            </w:r>
          </w:p>
        </w:tc>
        <w:tc>
          <w:tcPr>
            <w:tcW w:w="984" w:type="dxa"/>
            <w:tcBorders>
              <w:bottom w:val="single" w:color="000000" w:sz="4" w:space="0"/>
              <w:tl2br w:val="nil"/>
              <w:tr2bl w:val="nil"/>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highlight w:val="none"/>
                <w:lang w:val="en-US" w:eastAsia="zh-CN"/>
                <w14:textFill>
                  <w14:solidFill>
                    <w14:schemeClr w14:val="tx1"/>
                  </w14:solidFill>
                </w14:textFill>
              </w:rPr>
              <w:t>862</w:t>
            </w:r>
          </w:p>
        </w:tc>
      </w:tr>
      <w:tr>
        <w:tblPrEx>
          <w:tblBorders>
            <w:top w:val="none" w:color="auto" w:sz="0" w:space="0"/>
            <w:left w:val="single" w:color="000000" w:sz="4" w:space="0"/>
            <w:bottom w:val="single" w:color="000000" w:sz="4" w:space="0"/>
            <w:right w:val="none" w:color="auto" w:sz="0" w:space="0"/>
            <w:insideH w:val="none" w:color="auto" w:sz="0" w:space="0"/>
            <w:insideV w:val="single" w:color="000000" w:sz="4" w:space="0"/>
          </w:tblBorders>
          <w:tblLayout w:type="fixed"/>
          <w:tblCellMar>
            <w:top w:w="0" w:type="dxa"/>
            <w:left w:w="0" w:type="dxa"/>
            <w:bottom w:w="0" w:type="dxa"/>
            <w:right w:w="0" w:type="dxa"/>
          </w:tblCellMar>
        </w:tblPrEx>
        <w:trPr>
          <w:trHeight w:val="360" w:hRule="atLeast"/>
        </w:trPr>
        <w:tc>
          <w:tcPr>
            <w:tcW w:w="357" w:type="dxa"/>
            <w:vMerge w:val="continue"/>
            <w:tcBorders>
              <w:left w:val="nil"/>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683" w:type="dxa"/>
            <w:vMerge w:val="continue"/>
            <w:tcBorders>
              <w:tl2br w:val="nil"/>
              <w:tr2bl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675" w:type="dxa"/>
            <w:tcBorders>
              <w:top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D＞80</w:t>
            </w:r>
          </w:p>
        </w:tc>
        <w:tc>
          <w:tcPr>
            <w:tcW w:w="6140" w:type="dxa"/>
            <w:gridSpan w:val="5"/>
            <w:tcBorders>
              <w:top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Style w:val="26"/>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每增加</w:t>
            </w:r>
            <w:r>
              <w:rPr>
                <w:rStyle w:val="34"/>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20m</w:t>
            </w:r>
            <w:r>
              <w:rPr>
                <w:rStyle w:val="26"/>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，按前一档计费基价乘以</w:t>
            </w:r>
            <w:r>
              <w:rPr>
                <w:rStyle w:val="34"/>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1.2</w:t>
            </w:r>
            <w:r>
              <w:rPr>
                <w:rStyle w:val="26"/>
                <w:rFonts w:hint="eastAsia" w:asciiTheme="minorEastAsia" w:hAnsiTheme="minorEastAsia" w:eastAsiaTheme="minorEastAsia" w:cstheme="minorEastAsia"/>
                <w:color w:val="000000" w:themeColor="text1"/>
                <w:sz w:val="24"/>
                <w:szCs w:val="24"/>
                <w:highlight w:val="none"/>
                <w:lang w:bidi="ar"/>
                <w14:textFill>
                  <w14:solidFill>
                    <w14:schemeClr w14:val="tx1"/>
                  </w14:solidFill>
                </w14:textFill>
              </w:rPr>
              <w:t>的附加调整系数</w:t>
            </w:r>
          </w:p>
        </w:tc>
      </w:tr>
    </w:tbl>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br w:type="page"/>
      </w:r>
    </w:p>
    <w:p>
      <w:pPr>
        <w:ind w:firstLine="560" w:firstLineChars="20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p>
    <w:tbl>
      <w:tblPr>
        <w:tblStyle w:val="11"/>
        <w:tblW w:w="9488" w:type="dxa"/>
        <w:tblInd w:w="0" w:type="dxa"/>
        <w:shd w:val="clear" w:color="auto" w:fill="auto"/>
        <w:tblLayout w:type="fixed"/>
        <w:tblCellMar>
          <w:top w:w="0" w:type="dxa"/>
          <w:left w:w="0" w:type="dxa"/>
          <w:bottom w:w="0" w:type="dxa"/>
          <w:right w:w="0" w:type="dxa"/>
        </w:tblCellMar>
      </w:tblPr>
      <w:tblGrid>
        <w:gridCol w:w="465"/>
        <w:gridCol w:w="470"/>
        <w:gridCol w:w="1790"/>
        <w:gridCol w:w="600"/>
        <w:gridCol w:w="1350"/>
        <w:gridCol w:w="594"/>
        <w:gridCol w:w="1460"/>
        <w:gridCol w:w="2759"/>
      </w:tblGrid>
      <w:tr>
        <w:tblPrEx>
          <w:shd w:val="clear" w:color="auto" w:fill="auto"/>
          <w:tblLayout w:type="fixed"/>
          <w:tblCellMar>
            <w:top w:w="0" w:type="dxa"/>
            <w:left w:w="0" w:type="dxa"/>
            <w:bottom w:w="0" w:type="dxa"/>
            <w:right w:w="0" w:type="dxa"/>
          </w:tblCellMar>
        </w:tblPrEx>
        <w:trPr>
          <w:trHeight w:val="580" w:hRule="atLeast"/>
        </w:trPr>
        <w:tc>
          <w:tcPr>
            <w:tcW w:w="9488"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highlight w:val="none"/>
                <w:u w:val="none"/>
                <w:lang w:eastAsia="zh-CN"/>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14:textFill>
                  <w14:solidFill>
                    <w14:schemeClr w14:val="tx1"/>
                  </w14:solidFill>
                </w14:textFill>
              </w:rPr>
              <w:t xml:space="preserve">         取土、水、石试样实物工作计费基价表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表</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6</w:t>
            </w:r>
          </w:p>
        </w:tc>
      </w:tr>
      <w:tr>
        <w:tblPrEx>
          <w:shd w:val="clear" w:color="auto" w:fill="auto"/>
          <w:tblLayout w:type="fixed"/>
          <w:tblCellMar>
            <w:top w:w="0" w:type="dxa"/>
            <w:left w:w="0" w:type="dxa"/>
            <w:bottom w:w="0" w:type="dxa"/>
            <w:right w:w="0" w:type="dxa"/>
          </w:tblCellMar>
        </w:tblPrEx>
        <w:trPr>
          <w:trHeight w:val="360" w:hRule="atLeast"/>
        </w:trPr>
        <w:tc>
          <w:tcPr>
            <w:tcW w:w="465"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序号</w:t>
            </w:r>
          </w:p>
        </w:tc>
        <w:tc>
          <w:tcPr>
            <w:tcW w:w="4210" w:type="dxa"/>
            <w:gridSpan w:val="4"/>
            <w:vMerge w:val="restart"/>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项目</w:t>
            </w:r>
          </w:p>
        </w:tc>
        <w:tc>
          <w:tcPr>
            <w:tcW w:w="594"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计费单位</w:t>
            </w:r>
          </w:p>
        </w:tc>
        <w:tc>
          <w:tcPr>
            <w:tcW w:w="4219" w:type="dxa"/>
            <w:gridSpan w:val="2"/>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收费基价（元）</w:t>
            </w:r>
          </w:p>
        </w:tc>
      </w:tr>
      <w:tr>
        <w:tblPrEx>
          <w:shd w:val="clear" w:color="auto" w:fill="auto"/>
          <w:tblLayout w:type="fixed"/>
          <w:tblCellMar>
            <w:top w:w="0" w:type="dxa"/>
            <w:left w:w="0" w:type="dxa"/>
            <w:bottom w:w="0" w:type="dxa"/>
            <w:right w:w="0" w:type="dxa"/>
          </w:tblCellMar>
        </w:tblPrEx>
        <w:trPr>
          <w:trHeight w:val="360" w:hRule="atLeast"/>
        </w:trPr>
        <w:tc>
          <w:tcPr>
            <w:tcW w:w="465"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210" w:type="dxa"/>
            <w:gridSpan w:val="4"/>
            <w:vMerge w:val="continue"/>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94"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取样深度≤30m</w:t>
            </w:r>
          </w:p>
        </w:tc>
        <w:tc>
          <w:tcPr>
            <w:tcW w:w="275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取样深度＞30m</w:t>
            </w:r>
          </w:p>
        </w:tc>
      </w:tr>
      <w:tr>
        <w:tblPrEx>
          <w:tblLayout w:type="fixed"/>
          <w:tblCellMar>
            <w:top w:w="0" w:type="dxa"/>
            <w:left w:w="0" w:type="dxa"/>
            <w:bottom w:w="0" w:type="dxa"/>
            <w:right w:w="0" w:type="dxa"/>
          </w:tblCellMar>
        </w:tblPrEx>
        <w:trPr>
          <w:trHeight w:val="360" w:hRule="atLeast"/>
        </w:trPr>
        <w:tc>
          <w:tcPr>
            <w:tcW w:w="465"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取土</w:t>
            </w:r>
          </w:p>
        </w:tc>
        <w:tc>
          <w:tcPr>
            <w:tcW w:w="17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锤击法厚壁取土器</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试样规格</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φ=80～100mm</w:t>
            </w:r>
          </w:p>
        </w:tc>
        <w:tc>
          <w:tcPr>
            <w:tcW w:w="5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件</w:t>
            </w:r>
          </w:p>
        </w:tc>
        <w:tc>
          <w:tcPr>
            <w:tcW w:w="14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24</w:t>
            </w:r>
          </w:p>
        </w:tc>
        <w:tc>
          <w:tcPr>
            <w:tcW w:w="2759"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30</w:t>
            </w:r>
          </w:p>
        </w:tc>
      </w:tr>
      <w:tr>
        <w:tblPrEx>
          <w:shd w:val="clear" w:color="auto" w:fill="auto"/>
          <w:tblLayout w:type="fixed"/>
          <w:tblCellMar>
            <w:top w:w="0" w:type="dxa"/>
            <w:left w:w="0" w:type="dxa"/>
            <w:bottom w:w="0" w:type="dxa"/>
            <w:right w:w="0" w:type="dxa"/>
          </w:tblCellMar>
        </w:tblPrEx>
        <w:trPr>
          <w:trHeight w:val="360" w:hRule="atLeast"/>
        </w:trPr>
        <w:tc>
          <w:tcPr>
            <w:tcW w:w="46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L=150～200mm</w:t>
            </w: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759"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6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静压法厚壁取土器</w:t>
            </w: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φ=80～100mm</w:t>
            </w: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39</w:t>
            </w:r>
          </w:p>
        </w:tc>
        <w:tc>
          <w:tcPr>
            <w:tcW w:w="2759"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57</w:t>
            </w:r>
          </w:p>
        </w:tc>
      </w:tr>
      <w:tr>
        <w:tblPrEx>
          <w:shd w:val="clear" w:color="auto" w:fill="auto"/>
          <w:tblLayout w:type="fixed"/>
          <w:tblCellMar>
            <w:top w:w="0" w:type="dxa"/>
            <w:left w:w="0" w:type="dxa"/>
            <w:bottom w:w="0" w:type="dxa"/>
            <w:right w:w="0" w:type="dxa"/>
          </w:tblCellMar>
        </w:tblPrEx>
        <w:trPr>
          <w:trHeight w:val="360" w:hRule="atLeast"/>
        </w:trPr>
        <w:tc>
          <w:tcPr>
            <w:tcW w:w="46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L=150～200mm</w:t>
            </w: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759"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6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7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探井取土</w:t>
            </w: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60</w:t>
            </w:r>
          </w:p>
        </w:tc>
        <w:tc>
          <w:tcPr>
            <w:tcW w:w="275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90</w:t>
            </w:r>
          </w:p>
        </w:tc>
      </w:tr>
      <w:tr>
        <w:tblPrEx>
          <w:tblLayout w:type="fixed"/>
          <w:tblCellMar>
            <w:top w:w="0" w:type="dxa"/>
            <w:left w:w="0" w:type="dxa"/>
            <w:bottom w:w="0" w:type="dxa"/>
            <w:right w:w="0" w:type="dxa"/>
          </w:tblCellMar>
        </w:tblPrEx>
        <w:trPr>
          <w:trHeight w:val="360" w:hRule="atLeast"/>
        </w:trPr>
        <w:tc>
          <w:tcPr>
            <w:tcW w:w="46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7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扰动取土</w:t>
            </w: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219"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9</w:t>
            </w:r>
          </w:p>
        </w:tc>
      </w:tr>
      <w:tr>
        <w:tblPrEx>
          <w:tblLayout w:type="fixed"/>
          <w:tblCellMar>
            <w:top w:w="0" w:type="dxa"/>
            <w:left w:w="0" w:type="dxa"/>
            <w:bottom w:w="0" w:type="dxa"/>
            <w:right w:w="0" w:type="dxa"/>
          </w:tblCellMar>
        </w:tblPrEx>
        <w:trPr>
          <w:trHeight w:val="360" w:hRule="atLeast"/>
        </w:trPr>
        <w:tc>
          <w:tcPr>
            <w:tcW w:w="465"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w:t>
            </w:r>
          </w:p>
        </w:tc>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取石</w:t>
            </w:r>
          </w:p>
        </w:tc>
        <w:tc>
          <w:tcPr>
            <w:tcW w:w="37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取岩芯样</w:t>
            </w: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219"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15</w:t>
            </w:r>
          </w:p>
        </w:tc>
      </w:tr>
      <w:tr>
        <w:tblPrEx>
          <w:tblLayout w:type="fixed"/>
          <w:tblCellMar>
            <w:top w:w="0" w:type="dxa"/>
            <w:left w:w="0" w:type="dxa"/>
            <w:bottom w:w="0" w:type="dxa"/>
            <w:right w:w="0" w:type="dxa"/>
          </w:tblCellMar>
        </w:tblPrEx>
        <w:trPr>
          <w:trHeight w:val="360" w:hRule="atLeast"/>
        </w:trPr>
        <w:tc>
          <w:tcPr>
            <w:tcW w:w="46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74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人工芯样</w:t>
            </w: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219"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120</w:t>
            </w:r>
          </w:p>
        </w:tc>
      </w:tr>
      <w:tr>
        <w:tblPrEx>
          <w:shd w:val="clear" w:color="auto" w:fill="auto"/>
          <w:tblLayout w:type="fixed"/>
          <w:tblCellMar>
            <w:top w:w="0" w:type="dxa"/>
            <w:left w:w="0" w:type="dxa"/>
            <w:bottom w:w="0" w:type="dxa"/>
            <w:right w:w="0" w:type="dxa"/>
          </w:tblCellMar>
        </w:tblPrEx>
        <w:trPr>
          <w:trHeight w:val="360" w:hRule="atLeast"/>
        </w:trPr>
        <w:tc>
          <w:tcPr>
            <w:tcW w:w="465" w:type="dxa"/>
            <w:tcBorders>
              <w:top w:val="single" w:color="000000" w:sz="4" w:space="0"/>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w:t>
            </w:r>
          </w:p>
        </w:tc>
        <w:tc>
          <w:tcPr>
            <w:tcW w:w="4210" w:type="dxa"/>
            <w:gridSpan w:val="4"/>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取水</w:t>
            </w:r>
          </w:p>
        </w:tc>
        <w:tc>
          <w:tcPr>
            <w:tcW w:w="5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219" w:type="dxa"/>
            <w:gridSpan w:val="2"/>
            <w:tcBorders>
              <w:top w:val="single" w:color="000000" w:sz="4" w:space="0"/>
              <w:left w:val="single" w:color="000000" w:sz="4" w:space="0"/>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24</w:t>
            </w:r>
          </w:p>
        </w:tc>
      </w:tr>
    </w:tbl>
    <w:p>
      <w:pPr>
        <w:ind w:firstLine="560" w:firstLineChars="20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sectPr>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p>
    <w:tbl>
      <w:tblPr>
        <w:tblStyle w:val="11"/>
        <w:tblW w:w="13500" w:type="dxa"/>
        <w:tblInd w:w="0" w:type="dxa"/>
        <w:shd w:val="clear" w:color="auto" w:fill="auto"/>
        <w:tblLayout w:type="fixed"/>
        <w:tblCellMar>
          <w:top w:w="0" w:type="dxa"/>
          <w:left w:w="0" w:type="dxa"/>
          <w:bottom w:w="0" w:type="dxa"/>
          <w:right w:w="0" w:type="dxa"/>
        </w:tblCellMar>
      </w:tblPr>
      <w:tblGrid>
        <w:gridCol w:w="1080"/>
        <w:gridCol w:w="585"/>
        <w:gridCol w:w="1365"/>
        <w:gridCol w:w="1365"/>
        <w:gridCol w:w="1815"/>
        <w:gridCol w:w="1080"/>
        <w:gridCol w:w="1485"/>
        <w:gridCol w:w="1485"/>
        <w:gridCol w:w="1080"/>
        <w:gridCol w:w="540"/>
        <w:gridCol w:w="540"/>
        <w:gridCol w:w="1080"/>
      </w:tblGrid>
      <w:tr>
        <w:tblPrEx>
          <w:shd w:val="clear" w:color="auto" w:fill="auto"/>
          <w:tblLayout w:type="fixed"/>
          <w:tblCellMar>
            <w:top w:w="0" w:type="dxa"/>
            <w:left w:w="0" w:type="dxa"/>
            <w:bottom w:w="0" w:type="dxa"/>
            <w:right w:w="0" w:type="dxa"/>
          </w:tblCellMar>
        </w:tblPrEx>
        <w:trPr>
          <w:trHeight w:val="580" w:hRule="atLeast"/>
        </w:trPr>
        <w:tc>
          <w:tcPr>
            <w:tcW w:w="13500"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highlight w:val="none"/>
                <w:u w:val="none"/>
                <w:lang w:val="en-US"/>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14:textFill>
                  <w14:solidFill>
                    <w14:schemeClr w14:val="tx1"/>
                  </w14:solidFill>
                </w14:textFill>
              </w:rPr>
              <w:t xml:space="preserve">                    原位测试实物工作计费基价表                 </w:t>
            </w:r>
            <w:r>
              <w:rPr>
                <w:rFonts w:hint="eastAsia" w:asciiTheme="minorEastAsia" w:hAnsiTheme="minorEastAsia" w:eastAsiaTheme="minorEastAsia" w:cstheme="minorEastAsia"/>
                <w:b w:val="0"/>
                <w:bCs/>
                <w:i w:val="0"/>
                <w:color w:val="000000" w:themeColor="text1"/>
                <w:kern w:val="0"/>
                <w:sz w:val="24"/>
                <w:szCs w:val="24"/>
                <w:highlight w:val="none"/>
                <w:u w:val="none"/>
                <w:lang w:val="en-US" w:eastAsia="zh-CN" w:bidi="ar"/>
                <w14:textFill>
                  <w14:solidFill>
                    <w14:schemeClr w14:val="tx1"/>
                  </w14:solidFill>
                </w14:textFill>
              </w:rPr>
              <w:t>表7</w:t>
            </w:r>
          </w:p>
        </w:tc>
      </w:tr>
      <w:tr>
        <w:tblPrEx>
          <w:tblLayout w:type="fixed"/>
          <w:tblCellMar>
            <w:top w:w="0" w:type="dxa"/>
            <w:left w:w="0" w:type="dxa"/>
            <w:bottom w:w="0" w:type="dxa"/>
            <w:right w:w="0" w:type="dxa"/>
          </w:tblCellMar>
        </w:tblPrEx>
        <w:trPr>
          <w:trHeight w:val="500" w:hRule="atLeast"/>
        </w:trPr>
        <w:tc>
          <w:tcPr>
            <w:tcW w:w="1080" w:type="dxa"/>
            <w:vMerge w:val="restart"/>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序号</w:t>
            </w:r>
          </w:p>
        </w:tc>
        <w:tc>
          <w:tcPr>
            <w:tcW w:w="5130" w:type="dxa"/>
            <w:gridSpan w:val="4"/>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项目</w:t>
            </w:r>
          </w:p>
        </w:tc>
        <w:tc>
          <w:tcPr>
            <w:tcW w:w="1080" w:type="dxa"/>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计费单位</w:t>
            </w:r>
          </w:p>
        </w:tc>
        <w:tc>
          <w:tcPr>
            <w:tcW w:w="6210" w:type="dxa"/>
            <w:gridSpan w:val="6"/>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计费基价（元）</w:t>
            </w:r>
          </w:p>
        </w:tc>
      </w:tr>
      <w:tr>
        <w:tblPrEx>
          <w:shd w:val="clear" w:color="auto" w:fill="auto"/>
          <w:tblLayout w:type="fixed"/>
          <w:tblCellMar>
            <w:top w:w="0" w:type="dxa"/>
            <w:left w:w="0" w:type="dxa"/>
            <w:bottom w:w="0" w:type="dxa"/>
            <w:right w:w="0" w:type="dxa"/>
          </w:tblCellMar>
        </w:tblPrEx>
        <w:trPr>
          <w:trHeight w:val="540" w:hRule="atLeast"/>
        </w:trPr>
        <w:tc>
          <w:tcPr>
            <w:tcW w:w="1080" w:type="dxa"/>
            <w:vMerge w:val="continue"/>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测试项目</w:t>
            </w:r>
          </w:p>
        </w:tc>
        <w:tc>
          <w:tcPr>
            <w:tcW w:w="13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测试深度D（m）</w:t>
            </w:r>
          </w:p>
        </w:tc>
        <w:tc>
          <w:tcPr>
            <w:tcW w:w="1080" w:type="dxa"/>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I~III</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IV</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V</w:t>
            </w:r>
          </w:p>
        </w:tc>
        <w:tc>
          <w:tcPr>
            <w:tcW w:w="10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VI</w:t>
            </w:r>
          </w:p>
        </w:tc>
      </w:tr>
      <w:tr>
        <w:tblPrEx>
          <w:tblLayout w:type="fixed"/>
          <w:tblCellMar>
            <w:top w:w="0" w:type="dxa"/>
            <w:left w:w="0" w:type="dxa"/>
            <w:bottom w:w="0" w:type="dxa"/>
            <w:right w:w="0" w:type="dxa"/>
          </w:tblCellMar>
        </w:tblPrEx>
        <w:trPr>
          <w:trHeight w:val="360" w:hRule="atLeast"/>
        </w:trPr>
        <w:tc>
          <w:tcPr>
            <w:tcW w:w="10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w:t>
            </w:r>
          </w:p>
        </w:tc>
        <w:tc>
          <w:tcPr>
            <w:tcW w:w="331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标准贯入试验</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D≤20m</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次</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67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20＜D≤50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100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1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D＞50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120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10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圆锥动力触探试验</w:t>
            </w:r>
          </w:p>
        </w:tc>
        <w:tc>
          <w:tcPr>
            <w:tcW w:w="27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重型</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D≤10m</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m</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52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180 </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225 </w:t>
            </w:r>
          </w:p>
        </w:tc>
        <w:tc>
          <w:tcPr>
            <w:tcW w:w="10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255 </w:t>
            </w:r>
          </w:p>
        </w:tc>
      </w:tr>
      <w:tr>
        <w:tblPrEx>
          <w:shd w:val="clear" w:color="auto" w:fill="auto"/>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7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10＜D≤20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64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225 </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281 </w:t>
            </w:r>
          </w:p>
        </w:tc>
        <w:tc>
          <w:tcPr>
            <w:tcW w:w="10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319 </w:t>
            </w:r>
          </w:p>
        </w:tc>
      </w:tr>
      <w:tr>
        <w:tblPrEx>
          <w:shd w:val="clear" w:color="auto" w:fill="auto"/>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7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20＜D≤30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76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270 </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338 </w:t>
            </w:r>
          </w:p>
        </w:tc>
        <w:tc>
          <w:tcPr>
            <w:tcW w:w="10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383 </w:t>
            </w:r>
          </w:p>
        </w:tc>
      </w:tr>
      <w:tr>
        <w:tblPrEx>
          <w:shd w:val="clear" w:color="auto" w:fill="auto"/>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7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30＜D≤40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91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320 </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401 </w:t>
            </w:r>
          </w:p>
        </w:tc>
        <w:tc>
          <w:tcPr>
            <w:tcW w:w="10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454 </w:t>
            </w:r>
          </w:p>
        </w:tc>
      </w:tr>
      <w:tr>
        <w:tblPrEx>
          <w:shd w:val="clear" w:color="auto" w:fill="auto"/>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7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40＜D≤50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108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382 </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477 </w:t>
            </w:r>
          </w:p>
        </w:tc>
        <w:tc>
          <w:tcPr>
            <w:tcW w:w="10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541 </w:t>
            </w:r>
          </w:p>
        </w:tc>
      </w:tr>
      <w:tr>
        <w:tblPrEx>
          <w:shd w:val="clear" w:color="auto" w:fill="auto"/>
          <w:tblLayout w:type="fixed"/>
          <w:tblCellMar>
            <w:top w:w="0" w:type="dxa"/>
            <w:left w:w="0" w:type="dxa"/>
            <w:bottom w:w="0" w:type="dxa"/>
            <w:right w:w="0" w:type="dxa"/>
          </w:tblCellMar>
        </w:tblPrEx>
        <w:trPr>
          <w:trHeight w:val="360" w:hRule="atLeast"/>
        </w:trPr>
        <w:tc>
          <w:tcPr>
            <w:tcW w:w="10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静力触探试验</w:t>
            </w:r>
          </w:p>
        </w:tc>
        <w:tc>
          <w:tcPr>
            <w:tcW w:w="27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单桥</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D≤10m</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33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7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10＜D≤20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42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7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20＜D≤30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50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7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30＜D≤40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59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7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40＜D≤50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70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7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50＜D≤60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78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7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60＜D≤80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87 </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加测孔压</w:t>
            </w:r>
          </w:p>
        </w:tc>
        <w:tc>
          <w:tcPr>
            <w:tcW w:w="9105" w:type="dxa"/>
            <w:gridSpan w:val="8"/>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按单桥计费基价乘以1.2的附加调整系数</w:t>
            </w:r>
          </w:p>
        </w:tc>
      </w:tr>
      <w:tr>
        <w:tblPrEx>
          <w:tblLayout w:type="fixed"/>
          <w:tblCellMar>
            <w:top w:w="0" w:type="dxa"/>
            <w:left w:w="0" w:type="dxa"/>
            <w:bottom w:w="0" w:type="dxa"/>
            <w:right w:w="0" w:type="dxa"/>
          </w:tblCellMar>
        </w:tblPrEx>
        <w:trPr>
          <w:trHeight w:val="360" w:hRule="atLeast"/>
        </w:trPr>
        <w:tc>
          <w:tcPr>
            <w:tcW w:w="10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旁压试验</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方法</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深度D（m）</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压力≤2500kPa</w:t>
            </w:r>
          </w:p>
        </w:tc>
        <w:tc>
          <w:tcPr>
            <w:tcW w:w="3240"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压力＞2500kPa</w:t>
            </w:r>
          </w:p>
        </w:tc>
      </w:tr>
      <w:tr>
        <w:tblPrEx>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7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预钻式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D≤10m</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点</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157.8</w:t>
            </w:r>
          </w:p>
        </w:tc>
        <w:tc>
          <w:tcPr>
            <w:tcW w:w="3240"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210.6</w:t>
            </w:r>
          </w:p>
        </w:tc>
      </w:tr>
      <w:tr>
        <w:tblPrEx>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7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10＜D≤20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205.2</w:t>
            </w:r>
          </w:p>
        </w:tc>
        <w:tc>
          <w:tcPr>
            <w:tcW w:w="3240"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273.6</w:t>
            </w:r>
          </w:p>
        </w:tc>
      </w:tr>
      <w:tr>
        <w:tblPrEx>
          <w:shd w:val="clear" w:color="auto" w:fill="auto"/>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7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D＞20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266.4</w:t>
            </w:r>
          </w:p>
        </w:tc>
        <w:tc>
          <w:tcPr>
            <w:tcW w:w="3240"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355.8</w:t>
            </w:r>
          </w:p>
        </w:tc>
      </w:tr>
      <w:tr>
        <w:tblPrEx>
          <w:shd w:val="clear" w:color="auto" w:fill="auto"/>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7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自钻式</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D≤10m</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205.2</w:t>
            </w:r>
          </w:p>
        </w:tc>
        <w:tc>
          <w:tcPr>
            <w:tcW w:w="3240"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273.6</w:t>
            </w:r>
          </w:p>
        </w:tc>
      </w:tr>
      <w:tr>
        <w:tblPrEx>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7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10＜D≤20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266.4</w:t>
            </w:r>
          </w:p>
        </w:tc>
        <w:tc>
          <w:tcPr>
            <w:tcW w:w="3240"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355.8</w:t>
            </w:r>
          </w:p>
        </w:tc>
      </w:tr>
      <w:tr>
        <w:tblPrEx>
          <w:shd w:val="clear" w:color="auto" w:fill="auto"/>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7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D＞20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346.2</w:t>
            </w:r>
          </w:p>
        </w:tc>
        <w:tc>
          <w:tcPr>
            <w:tcW w:w="3240"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462.6</w:t>
            </w:r>
          </w:p>
        </w:tc>
      </w:tr>
      <w:tr>
        <w:tblPrEx>
          <w:tblLayout w:type="fixed"/>
          <w:tblCellMar>
            <w:top w:w="0" w:type="dxa"/>
            <w:left w:w="0" w:type="dxa"/>
            <w:bottom w:w="0" w:type="dxa"/>
            <w:right w:w="0" w:type="dxa"/>
          </w:tblCellMar>
        </w:tblPrEx>
        <w:trPr>
          <w:trHeight w:val="600" w:hRule="atLeast"/>
        </w:trPr>
        <w:tc>
          <w:tcPr>
            <w:tcW w:w="10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载荷试验</w:t>
            </w:r>
          </w:p>
        </w:tc>
        <w:tc>
          <w:tcPr>
            <w:tcW w:w="45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螺旋板</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试验点</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1134</w:t>
            </w:r>
          </w:p>
        </w:tc>
        <w:tc>
          <w:tcPr>
            <w:tcW w:w="3240"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1248</w:t>
            </w:r>
          </w:p>
        </w:tc>
      </w:tr>
      <w:tr>
        <w:tblPrEx>
          <w:shd w:val="clear" w:color="auto" w:fill="auto"/>
          <w:tblLayout w:type="fixed"/>
          <w:tblCellMar>
            <w:top w:w="0" w:type="dxa"/>
            <w:left w:w="0" w:type="dxa"/>
            <w:bottom w:w="0" w:type="dxa"/>
            <w:right w:w="0" w:type="dxa"/>
          </w:tblCellMar>
        </w:tblPrEx>
        <w:trPr>
          <w:trHeight w:val="360" w:hRule="atLeast"/>
        </w:trPr>
        <w:tc>
          <w:tcPr>
            <w:tcW w:w="10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6</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土体现场直剪试验</w:t>
            </w:r>
          </w:p>
        </w:tc>
        <w:tc>
          <w:tcPr>
            <w:tcW w:w="45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试验面积（m</w:t>
            </w:r>
            <w:r>
              <w:rPr>
                <w:rStyle w:val="28"/>
                <w:rFonts w:hint="eastAsia" w:asciiTheme="minorEastAsia" w:hAnsiTheme="minorEastAsia" w:eastAsiaTheme="minorEastAsia" w:cstheme="minorEastAsia"/>
                <w:color w:val="000000" w:themeColor="text1"/>
                <w:sz w:val="24"/>
                <w:szCs w:val="24"/>
                <w:highlight w:val="none"/>
                <w:lang w:val="en-US" w:eastAsia="zh-CN" w:bidi="ar"/>
                <w14:textFill>
                  <w14:solidFill>
                    <w14:schemeClr w14:val="tx1"/>
                  </w14:solidFill>
                </w14:textFill>
              </w:rPr>
              <w:t>2</w:t>
            </w: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压应力≤500kPa</w:t>
            </w:r>
          </w:p>
        </w:tc>
        <w:tc>
          <w:tcPr>
            <w:tcW w:w="3240"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压应力＞500kPa</w:t>
            </w:r>
          </w:p>
        </w:tc>
      </w:tr>
      <w:tr>
        <w:tblPrEx>
          <w:shd w:val="clear" w:color="auto" w:fill="auto"/>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5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水位以上</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水位以下</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水位以上</w:t>
            </w:r>
          </w:p>
        </w:tc>
        <w:tc>
          <w:tcPr>
            <w:tcW w:w="162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水位以下</w:t>
            </w:r>
          </w:p>
        </w:tc>
      </w:tr>
      <w:tr>
        <w:tblPrEx>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5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0.10 </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组</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1665</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1998</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1998</w:t>
            </w:r>
          </w:p>
        </w:tc>
        <w:tc>
          <w:tcPr>
            <w:tcW w:w="162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2397.6</w:t>
            </w:r>
          </w:p>
        </w:tc>
      </w:tr>
      <w:tr>
        <w:tblPrEx>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5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0.25 </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2379</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2854.8</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2854.8</w:t>
            </w:r>
          </w:p>
        </w:tc>
        <w:tc>
          <w:tcPr>
            <w:tcW w:w="162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3426</w:t>
            </w:r>
          </w:p>
        </w:tc>
      </w:tr>
      <w:tr>
        <w:tblPrEx>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5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0.50 </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3093.6</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3712.8</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3712.8</w:t>
            </w:r>
          </w:p>
        </w:tc>
        <w:tc>
          <w:tcPr>
            <w:tcW w:w="1620" w:type="dxa"/>
            <w:gridSpan w:val="2"/>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4455</w:t>
            </w:r>
          </w:p>
        </w:tc>
      </w:tr>
      <w:tr>
        <w:tblPrEx>
          <w:tblLayout w:type="fixed"/>
          <w:tblCellMar>
            <w:top w:w="0" w:type="dxa"/>
            <w:left w:w="0" w:type="dxa"/>
            <w:bottom w:w="0" w:type="dxa"/>
            <w:right w:w="0" w:type="dxa"/>
          </w:tblCellMar>
        </w:tblPrEx>
        <w:trPr>
          <w:trHeight w:val="360" w:hRule="atLeast"/>
        </w:trPr>
        <w:tc>
          <w:tcPr>
            <w:tcW w:w="10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7</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岩体变形试验</w:t>
            </w:r>
          </w:p>
        </w:tc>
        <w:tc>
          <w:tcPr>
            <w:tcW w:w="27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承压办法</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法向荷重（kN）</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试验点</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软岩</w:t>
            </w:r>
          </w:p>
        </w:tc>
        <w:tc>
          <w:tcPr>
            <w:tcW w:w="3240"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硬岩</w:t>
            </w:r>
          </w:p>
        </w:tc>
      </w:tr>
      <w:tr>
        <w:tblPrEx>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7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≤500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4071.6</w:t>
            </w:r>
          </w:p>
        </w:tc>
        <w:tc>
          <w:tcPr>
            <w:tcW w:w="3240"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4492.8</w:t>
            </w:r>
          </w:p>
        </w:tc>
      </w:tr>
      <w:tr>
        <w:tblPrEx>
          <w:shd w:val="clear" w:color="auto" w:fill="auto"/>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7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1000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4454.4</w:t>
            </w:r>
          </w:p>
        </w:tc>
        <w:tc>
          <w:tcPr>
            <w:tcW w:w="3240"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4942.2</w:t>
            </w:r>
          </w:p>
        </w:tc>
      </w:tr>
      <w:tr>
        <w:tblPrEx>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7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＞1000每增加500</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6210" w:type="dxa"/>
            <w:gridSpan w:val="6"/>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按前一档计费基价乘以1.1的附加调整系数</w:t>
            </w:r>
          </w:p>
        </w:tc>
      </w:tr>
      <w:tr>
        <w:tblPrEx>
          <w:shd w:val="clear" w:color="auto" w:fill="auto"/>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5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钻孔变形法</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2386.8</w:t>
            </w:r>
          </w:p>
        </w:tc>
        <w:tc>
          <w:tcPr>
            <w:tcW w:w="3240"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2737.8</w:t>
            </w:r>
          </w:p>
        </w:tc>
      </w:tr>
      <w:tr>
        <w:tblPrEx>
          <w:tblLayout w:type="fixed"/>
          <w:tblCellMar>
            <w:top w:w="0" w:type="dxa"/>
            <w:left w:w="0" w:type="dxa"/>
            <w:bottom w:w="0" w:type="dxa"/>
            <w:right w:w="0" w:type="dxa"/>
          </w:tblCellMar>
        </w:tblPrEx>
        <w:trPr>
          <w:trHeight w:val="360" w:hRule="atLeast"/>
        </w:trPr>
        <w:tc>
          <w:tcPr>
            <w:tcW w:w="10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8</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岩体强度试验</w:t>
            </w:r>
          </w:p>
        </w:tc>
        <w:tc>
          <w:tcPr>
            <w:tcW w:w="45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岩体结构面直剪</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5967</w:t>
            </w:r>
          </w:p>
        </w:tc>
        <w:tc>
          <w:tcPr>
            <w:tcW w:w="3240"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6847.2</w:t>
            </w:r>
          </w:p>
        </w:tc>
      </w:tr>
      <w:tr>
        <w:tblPrEx>
          <w:shd w:val="clear" w:color="auto" w:fill="auto"/>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5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岩体直剪</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5265</w:t>
            </w:r>
          </w:p>
        </w:tc>
        <w:tc>
          <w:tcPr>
            <w:tcW w:w="3240"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5934.6</w:t>
            </w:r>
          </w:p>
        </w:tc>
      </w:tr>
      <w:tr>
        <w:tblPrEx>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5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混凝土与岩体直剪</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4212</w:t>
            </w:r>
          </w:p>
        </w:tc>
        <w:tc>
          <w:tcPr>
            <w:tcW w:w="3240"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4563</w:t>
            </w:r>
          </w:p>
        </w:tc>
      </w:tr>
      <w:tr>
        <w:tblPrEx>
          <w:tblLayout w:type="fixed"/>
          <w:tblCellMar>
            <w:top w:w="0" w:type="dxa"/>
            <w:left w:w="0" w:type="dxa"/>
            <w:bottom w:w="0" w:type="dxa"/>
            <w:right w:w="0" w:type="dxa"/>
          </w:tblCellMar>
        </w:tblPrEx>
        <w:trPr>
          <w:trHeight w:val="360" w:hRule="atLeast"/>
        </w:trPr>
        <w:tc>
          <w:tcPr>
            <w:tcW w:w="10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9</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岩体原位应力测试</w:t>
            </w:r>
          </w:p>
        </w:tc>
        <w:tc>
          <w:tcPr>
            <w:tcW w:w="45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方法</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孔</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原位应力测试</w:t>
            </w:r>
          </w:p>
        </w:tc>
        <w:tc>
          <w:tcPr>
            <w:tcW w:w="3240"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三轴交汇测应力</w:t>
            </w:r>
          </w:p>
        </w:tc>
      </w:tr>
      <w:tr>
        <w:tblPrEx>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5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孔径变形法/孔底应变法</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17550</w:t>
            </w:r>
          </w:p>
        </w:tc>
        <w:tc>
          <w:tcPr>
            <w:tcW w:w="3240"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35100</w:t>
            </w:r>
          </w:p>
        </w:tc>
      </w:tr>
      <w:tr>
        <w:tblPrEx>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5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孔壁应变法</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6210" w:type="dxa"/>
            <w:gridSpan w:val="6"/>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21060</w:t>
            </w:r>
          </w:p>
        </w:tc>
      </w:tr>
      <w:tr>
        <w:tblPrEx>
          <w:tblLayout w:type="fixed"/>
          <w:tblCellMar>
            <w:top w:w="0" w:type="dxa"/>
            <w:left w:w="0" w:type="dxa"/>
            <w:bottom w:w="0" w:type="dxa"/>
            <w:right w:w="0" w:type="dxa"/>
          </w:tblCellMar>
        </w:tblPrEx>
        <w:trPr>
          <w:trHeight w:val="90" w:hRule="atLeast"/>
        </w:trPr>
        <w:tc>
          <w:tcPr>
            <w:tcW w:w="10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10</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压水、注水试验</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压水</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试验深度D（m）</w:t>
            </w: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D≤20</w:t>
            </w:r>
          </w:p>
        </w:tc>
        <w:tc>
          <w:tcPr>
            <w:tcW w:w="1080" w:type="dxa"/>
            <w:vMerge w:val="restar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段次</w:t>
            </w:r>
          </w:p>
        </w:tc>
        <w:tc>
          <w:tcPr>
            <w:tcW w:w="6210" w:type="dxa"/>
            <w:gridSpan w:val="6"/>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1051.8</w:t>
            </w:r>
          </w:p>
        </w:tc>
      </w:tr>
      <w:tr>
        <w:tblPrEx>
          <w:shd w:val="clear" w:color="auto" w:fill="auto"/>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D＞20</w:t>
            </w:r>
          </w:p>
        </w:tc>
        <w:tc>
          <w:tcPr>
            <w:tcW w:w="1080" w:type="dxa"/>
            <w:vMerge w:val="continue"/>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6210" w:type="dxa"/>
            <w:gridSpan w:val="6"/>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1262.4</w:t>
            </w:r>
          </w:p>
        </w:tc>
      </w:tr>
      <w:tr>
        <w:tblPrEx>
          <w:shd w:val="clear" w:color="auto" w:fill="auto"/>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5" w:type="dxa"/>
            <w:vMerge w:val="restar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注水</w:t>
            </w:r>
          </w:p>
        </w:tc>
        <w:tc>
          <w:tcPr>
            <w:tcW w:w="31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钻孔注水</w:t>
            </w:r>
          </w:p>
        </w:tc>
        <w:tc>
          <w:tcPr>
            <w:tcW w:w="1080" w:type="dxa"/>
            <w:vMerge w:val="continue"/>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6210" w:type="dxa"/>
            <w:gridSpan w:val="6"/>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245.4</w:t>
            </w:r>
          </w:p>
        </w:tc>
      </w:tr>
      <w:tr>
        <w:tblPrEx>
          <w:shd w:val="clear" w:color="auto" w:fill="auto"/>
          <w:tblLayout w:type="fixed"/>
          <w:tblCellMar>
            <w:top w:w="0" w:type="dxa"/>
            <w:left w:w="0" w:type="dxa"/>
            <w:bottom w:w="0" w:type="dxa"/>
            <w:right w:w="0" w:type="dxa"/>
          </w:tblCellMar>
        </w:tblPrEx>
        <w:trPr>
          <w:trHeight w:val="360" w:hRule="atLeast"/>
        </w:trPr>
        <w:tc>
          <w:tcPr>
            <w:tcW w:w="10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65" w:type="dxa"/>
            <w:vMerge w:val="continue"/>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180" w:type="dxa"/>
            <w:gridSpan w:val="2"/>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探井注水</w:t>
            </w:r>
          </w:p>
        </w:tc>
        <w:tc>
          <w:tcPr>
            <w:tcW w:w="1080" w:type="dxa"/>
            <w:vMerge w:val="continue"/>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6210" w:type="dxa"/>
            <w:gridSpan w:val="6"/>
            <w:tcBorders>
              <w:top w:val="single" w:color="000000" w:sz="4" w:space="0"/>
              <w:left w:val="single" w:color="000000" w:sz="4"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123</w:t>
            </w:r>
          </w:p>
        </w:tc>
      </w:tr>
    </w:tbl>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br w:type="page"/>
      </w:r>
    </w:p>
    <w:tbl>
      <w:tblPr>
        <w:tblStyle w:val="11"/>
        <w:tblW w:w="13988" w:type="dxa"/>
        <w:tblInd w:w="0" w:type="dxa"/>
        <w:tblLayout w:type="fixed"/>
        <w:tblCellMar>
          <w:top w:w="0" w:type="dxa"/>
          <w:left w:w="0" w:type="dxa"/>
          <w:bottom w:w="0" w:type="dxa"/>
          <w:right w:w="0" w:type="dxa"/>
        </w:tblCellMar>
      </w:tblPr>
      <w:tblGrid>
        <w:gridCol w:w="962"/>
        <w:gridCol w:w="2079"/>
        <w:gridCol w:w="1665"/>
        <w:gridCol w:w="704"/>
        <w:gridCol w:w="1056"/>
        <w:gridCol w:w="2028"/>
        <w:gridCol w:w="1093"/>
        <w:gridCol w:w="4401"/>
      </w:tblGrid>
      <w:tr>
        <w:tblPrEx>
          <w:tblLayout w:type="fixed"/>
          <w:tblCellMar>
            <w:top w:w="0" w:type="dxa"/>
            <w:left w:w="0" w:type="dxa"/>
            <w:bottom w:w="0" w:type="dxa"/>
            <w:right w:w="0" w:type="dxa"/>
          </w:tblCellMar>
        </w:tblPrEx>
        <w:trPr>
          <w:trHeight w:val="860" w:hRule="atLeast"/>
        </w:trPr>
        <w:tc>
          <w:tcPr>
            <w:tcW w:w="13988" w:type="dxa"/>
            <w:gridSpan w:val="8"/>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0"/>
                <w:sz w:val="24"/>
                <w:szCs w:val="24"/>
                <w:highlight w:val="none"/>
                <w:lang w:bidi="ar"/>
                <w14:textFill>
                  <w14:solidFill>
                    <w14:schemeClr w14:val="tx1"/>
                  </w14:solidFill>
                </w14:textFill>
              </w:rPr>
              <w:t xml:space="preserve">         岩土工程勘探与原位测试实物工作费附加调整系数表</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 xml:space="preserve">               表</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8</w:t>
            </w:r>
          </w:p>
        </w:tc>
      </w:tr>
      <w:tr>
        <w:tblPrEx>
          <w:tblLayout w:type="fixed"/>
          <w:tblCellMar>
            <w:top w:w="0" w:type="dxa"/>
            <w:left w:w="0" w:type="dxa"/>
            <w:bottom w:w="0" w:type="dxa"/>
            <w:right w:w="0" w:type="dxa"/>
          </w:tblCellMar>
        </w:tblPrEx>
        <w:trPr>
          <w:trHeight w:val="681" w:hRule="atLeast"/>
        </w:trPr>
        <w:tc>
          <w:tcPr>
            <w:tcW w:w="962" w:type="dxa"/>
            <w:tcBorders>
              <w:top w:val="single" w:color="000000" w:sz="8"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序号</w:t>
            </w:r>
          </w:p>
        </w:tc>
        <w:tc>
          <w:tcPr>
            <w:tcW w:w="7532" w:type="dxa"/>
            <w:gridSpan w:val="5"/>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项       目</w:t>
            </w:r>
          </w:p>
        </w:tc>
        <w:tc>
          <w:tcPr>
            <w:tcW w:w="1093"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附加调整系数</w:t>
            </w:r>
          </w:p>
        </w:tc>
        <w:tc>
          <w:tcPr>
            <w:tcW w:w="4401" w:type="dxa"/>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备注</w:t>
            </w:r>
          </w:p>
        </w:tc>
      </w:tr>
      <w:tr>
        <w:tblPrEx>
          <w:tblLayout w:type="fixed"/>
          <w:tblCellMar>
            <w:top w:w="0" w:type="dxa"/>
            <w:left w:w="0" w:type="dxa"/>
            <w:bottom w:w="0" w:type="dxa"/>
            <w:right w:w="0" w:type="dxa"/>
          </w:tblCellMar>
        </w:tblPrEx>
        <w:trPr>
          <w:trHeight w:val="740" w:hRule="atLeast"/>
        </w:trPr>
        <w:tc>
          <w:tcPr>
            <w:tcW w:w="96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w:t>
            </w:r>
          </w:p>
        </w:tc>
        <w:tc>
          <w:tcPr>
            <w:tcW w:w="2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钻孔</w:t>
            </w:r>
          </w:p>
        </w:tc>
        <w:tc>
          <w:tcPr>
            <w:tcW w:w="545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跟管钻进、泥浆护壁、基岩无水干钻钻探、基岩破碎带钻进取芯</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 xml:space="preserve">1.5 </w:t>
            </w:r>
          </w:p>
        </w:tc>
        <w:tc>
          <w:tcPr>
            <w:tcW w:w="44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Layout w:type="fixed"/>
          <w:tblCellMar>
            <w:top w:w="0" w:type="dxa"/>
            <w:left w:w="0" w:type="dxa"/>
            <w:bottom w:w="0" w:type="dxa"/>
            <w:right w:w="0" w:type="dxa"/>
          </w:tblCellMar>
        </w:tblPrEx>
        <w:trPr>
          <w:trHeight w:val="540" w:hRule="atLeast"/>
        </w:trPr>
        <w:tc>
          <w:tcPr>
            <w:tcW w:w="96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2</w:t>
            </w:r>
          </w:p>
        </w:tc>
        <w:tc>
          <w:tcPr>
            <w:tcW w:w="2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勘探、取样、原位测试</w:t>
            </w:r>
          </w:p>
        </w:tc>
        <w:tc>
          <w:tcPr>
            <w:tcW w:w="545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线路上作业</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 xml:space="preserve">1.3 </w:t>
            </w:r>
          </w:p>
        </w:tc>
        <w:tc>
          <w:tcPr>
            <w:tcW w:w="44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包括工程物探</w:t>
            </w:r>
          </w:p>
        </w:tc>
      </w:tr>
      <w:tr>
        <w:tblPrEx>
          <w:tblLayout w:type="fixed"/>
          <w:tblCellMar>
            <w:top w:w="0" w:type="dxa"/>
            <w:left w:w="0" w:type="dxa"/>
            <w:bottom w:w="0" w:type="dxa"/>
            <w:right w:w="0" w:type="dxa"/>
          </w:tblCellMar>
        </w:tblPrEx>
        <w:trPr>
          <w:trHeight w:val="270" w:hRule="atLeast"/>
        </w:trPr>
        <w:tc>
          <w:tcPr>
            <w:tcW w:w="96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3</w:t>
            </w:r>
          </w:p>
        </w:tc>
        <w:tc>
          <w:tcPr>
            <w:tcW w:w="20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钻孔、取样、原位测试</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水上作业</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湖、江、河</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水深D（m）</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D≤10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 xml:space="preserve">2.0 </w:t>
            </w:r>
          </w:p>
        </w:tc>
        <w:tc>
          <w:tcPr>
            <w:tcW w:w="4401"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包括工程物探</w:t>
            </w:r>
          </w:p>
        </w:tc>
      </w:tr>
      <w:tr>
        <w:tblPrEx>
          <w:tblLayout w:type="fixed"/>
          <w:tblCellMar>
            <w:top w:w="0" w:type="dxa"/>
            <w:left w:w="0" w:type="dxa"/>
            <w:bottom w:w="0" w:type="dxa"/>
            <w:right w:w="0" w:type="dxa"/>
          </w:tblCellMar>
        </w:tblPrEx>
        <w:trPr>
          <w:trHeight w:val="540" w:hRule="atLeast"/>
        </w:trPr>
        <w:tc>
          <w:tcPr>
            <w:tcW w:w="96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0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10＜D≤20</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 xml:space="preserve">2.5 </w:t>
            </w:r>
          </w:p>
        </w:tc>
        <w:tc>
          <w:tcPr>
            <w:tcW w:w="4401"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Layout w:type="fixed"/>
          <w:tblCellMar>
            <w:top w:w="0" w:type="dxa"/>
            <w:left w:w="0" w:type="dxa"/>
            <w:bottom w:w="0" w:type="dxa"/>
            <w:right w:w="0" w:type="dxa"/>
          </w:tblCellMar>
        </w:tblPrEx>
        <w:trPr>
          <w:trHeight w:val="270" w:hRule="atLeast"/>
        </w:trPr>
        <w:tc>
          <w:tcPr>
            <w:tcW w:w="96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0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 xml:space="preserve">3.0 </w:t>
            </w:r>
          </w:p>
        </w:tc>
        <w:tc>
          <w:tcPr>
            <w:tcW w:w="4401"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6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0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7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塘、沼泽地</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1.5</w:t>
            </w:r>
          </w:p>
        </w:tc>
        <w:tc>
          <w:tcPr>
            <w:tcW w:w="4401"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6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20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c>
          <w:tcPr>
            <w:tcW w:w="37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积水区（含水稻田）</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1.2</w:t>
            </w:r>
          </w:p>
        </w:tc>
        <w:tc>
          <w:tcPr>
            <w:tcW w:w="4401"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Layout w:type="fixed"/>
          <w:tblCellMar>
            <w:top w:w="0" w:type="dxa"/>
            <w:left w:w="0" w:type="dxa"/>
            <w:bottom w:w="0" w:type="dxa"/>
            <w:right w:w="0" w:type="dxa"/>
          </w:tblCellMar>
        </w:tblPrEx>
        <w:trPr>
          <w:trHeight w:val="540" w:hRule="atLeast"/>
        </w:trPr>
        <w:tc>
          <w:tcPr>
            <w:tcW w:w="96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4</w:t>
            </w:r>
          </w:p>
        </w:tc>
        <w:tc>
          <w:tcPr>
            <w:tcW w:w="20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勘探、取样、原位测试</w:t>
            </w:r>
          </w:p>
        </w:tc>
        <w:tc>
          <w:tcPr>
            <w:tcW w:w="545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岩溶、洞穴、泥石流、滑坡等复杂场地</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1.1</w:t>
            </w:r>
          </w:p>
        </w:tc>
        <w:tc>
          <w:tcPr>
            <w:tcW w:w="4401"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p>
        </w:tc>
      </w:tr>
      <w:tr>
        <w:tblPrEx>
          <w:tblLayout w:type="fixed"/>
          <w:tblCellMar>
            <w:top w:w="0" w:type="dxa"/>
            <w:left w:w="0" w:type="dxa"/>
            <w:bottom w:w="0" w:type="dxa"/>
            <w:right w:w="0" w:type="dxa"/>
          </w:tblCellMar>
        </w:tblPrEx>
        <w:trPr>
          <w:trHeight w:val="522" w:hRule="atLeast"/>
        </w:trPr>
        <w:tc>
          <w:tcPr>
            <w:tcW w:w="96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5</w:t>
            </w:r>
          </w:p>
        </w:tc>
        <w:tc>
          <w:tcPr>
            <w:tcW w:w="13026" w:type="dxa"/>
            <w:gridSpan w:val="7"/>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原位测试、工程物探的勘探费用另计</w:t>
            </w:r>
          </w:p>
        </w:tc>
      </w:tr>
      <w:tr>
        <w:tblPrEx>
          <w:tblLayout w:type="fixed"/>
          <w:tblCellMar>
            <w:top w:w="0" w:type="dxa"/>
            <w:left w:w="0" w:type="dxa"/>
            <w:bottom w:w="0" w:type="dxa"/>
            <w:right w:w="0" w:type="dxa"/>
          </w:tblCellMar>
        </w:tblPrEx>
        <w:trPr>
          <w:trHeight w:val="484" w:hRule="atLeast"/>
        </w:trPr>
        <w:tc>
          <w:tcPr>
            <w:tcW w:w="962" w:type="dxa"/>
            <w:tcBorders>
              <w:top w:val="single" w:color="000000" w:sz="4" w:space="0"/>
              <w:left w:val="nil"/>
              <w:bottom w:val="single" w:color="000000" w:sz="8"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6</w:t>
            </w:r>
          </w:p>
        </w:tc>
        <w:tc>
          <w:tcPr>
            <w:tcW w:w="13026" w:type="dxa"/>
            <w:gridSpan w:val="7"/>
            <w:tcBorders>
              <w:top w:val="single" w:color="000000" w:sz="4" w:space="0"/>
              <w:left w:val="single" w:color="000000" w:sz="4" w:space="0"/>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小型岩土工程勘探＜3个台班，按3个台班计费</w:t>
            </w:r>
          </w:p>
        </w:tc>
      </w:tr>
    </w:tbl>
    <w:p>
      <w:pPr>
        <w:ind w:firstLine="560" w:firstLineChars="20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p>
    <w:p>
      <w:pPr>
        <w:ind w:firstLine="560" w:firstLineChars="20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p>
    <w:p>
      <w:pPr>
        <w:ind w:firstLine="560" w:firstLineChars="20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p>
    <w:tbl>
      <w:tblPr>
        <w:tblStyle w:val="11"/>
        <w:tblW w:w="13988" w:type="dxa"/>
        <w:tblInd w:w="0" w:type="dxa"/>
        <w:shd w:val="clear" w:color="auto" w:fill="auto"/>
        <w:tblLayout w:type="fixed"/>
        <w:tblCellMar>
          <w:top w:w="0" w:type="dxa"/>
          <w:left w:w="0" w:type="dxa"/>
          <w:bottom w:w="0" w:type="dxa"/>
          <w:right w:w="0" w:type="dxa"/>
        </w:tblCellMar>
      </w:tblPr>
      <w:tblGrid>
        <w:gridCol w:w="1748"/>
        <w:gridCol w:w="1748"/>
        <w:gridCol w:w="1748"/>
        <w:gridCol w:w="1748"/>
        <w:gridCol w:w="1748"/>
        <w:gridCol w:w="1748"/>
        <w:gridCol w:w="1748"/>
        <w:gridCol w:w="1752"/>
      </w:tblGrid>
      <w:tr>
        <w:tblPrEx>
          <w:shd w:val="clear" w:color="auto" w:fill="auto"/>
          <w:tblLayout w:type="fixed"/>
          <w:tblCellMar>
            <w:top w:w="0" w:type="dxa"/>
            <w:left w:w="0" w:type="dxa"/>
            <w:bottom w:w="0" w:type="dxa"/>
            <w:right w:w="0" w:type="dxa"/>
          </w:tblCellMar>
        </w:tblPrEx>
        <w:trPr>
          <w:trHeight w:val="540" w:hRule="atLeast"/>
        </w:trPr>
        <w:tc>
          <w:tcPr>
            <w:tcW w:w="13988"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highlight w:val="none"/>
                <w:u w:val="none"/>
                <w:lang w:eastAsia="zh-CN"/>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14:textFill>
                  <w14:solidFill>
                    <w14:schemeClr w14:val="tx1"/>
                  </w14:solidFill>
                </w14:textFill>
              </w:rPr>
              <w:t xml:space="preserve">             水文地质钻探复杂程度表               </w:t>
            </w:r>
            <w:r>
              <w:rPr>
                <w:rFonts w:hint="eastAsia" w:asciiTheme="minorEastAsia" w:hAnsiTheme="minorEastAsia" w:cstheme="minorEastAsia"/>
                <w:b/>
                <w:i w:val="0"/>
                <w:color w:val="000000" w:themeColor="text1"/>
                <w:kern w:val="0"/>
                <w:sz w:val="24"/>
                <w:szCs w:val="24"/>
                <w:highlight w:val="none"/>
                <w:u w:val="none"/>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表</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9</w:t>
            </w:r>
          </w:p>
        </w:tc>
      </w:tr>
      <w:tr>
        <w:tblPrEx>
          <w:shd w:val="clear" w:color="auto" w:fill="auto"/>
          <w:tblLayout w:type="fixed"/>
          <w:tblCellMar>
            <w:top w:w="0" w:type="dxa"/>
            <w:left w:w="0" w:type="dxa"/>
            <w:bottom w:w="0" w:type="dxa"/>
            <w:right w:w="0" w:type="dxa"/>
          </w:tblCellMar>
        </w:tblPrEx>
        <w:trPr>
          <w:trHeight w:val="300" w:hRule="atLeast"/>
        </w:trPr>
        <w:tc>
          <w:tcPr>
            <w:tcW w:w="1748" w:type="dxa"/>
            <w:tcBorders>
              <w:top w:val="single" w:color="000000" w:sz="8"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岩土类别</w:t>
            </w:r>
          </w:p>
        </w:tc>
        <w:tc>
          <w:tcPr>
            <w:tcW w:w="174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I</w:t>
            </w:r>
          </w:p>
        </w:tc>
        <w:tc>
          <w:tcPr>
            <w:tcW w:w="174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II</w:t>
            </w:r>
          </w:p>
        </w:tc>
        <w:tc>
          <w:tcPr>
            <w:tcW w:w="174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III</w:t>
            </w:r>
          </w:p>
        </w:tc>
        <w:tc>
          <w:tcPr>
            <w:tcW w:w="174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IV</w:t>
            </w:r>
          </w:p>
        </w:tc>
        <w:tc>
          <w:tcPr>
            <w:tcW w:w="174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V</w:t>
            </w:r>
          </w:p>
        </w:tc>
        <w:tc>
          <w:tcPr>
            <w:tcW w:w="1748" w:type="dxa"/>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VI</w:t>
            </w:r>
          </w:p>
        </w:tc>
        <w:tc>
          <w:tcPr>
            <w:tcW w:w="1752" w:type="dxa"/>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VII</w:t>
            </w:r>
          </w:p>
        </w:tc>
      </w:tr>
      <w:tr>
        <w:tblPrEx>
          <w:shd w:val="clear" w:color="auto" w:fill="auto"/>
          <w:tblLayout w:type="fixed"/>
          <w:tblCellMar>
            <w:top w:w="0" w:type="dxa"/>
            <w:left w:w="0" w:type="dxa"/>
            <w:bottom w:w="0" w:type="dxa"/>
            <w:right w:w="0" w:type="dxa"/>
          </w:tblCellMar>
        </w:tblPrEx>
        <w:trPr>
          <w:trHeight w:val="1350" w:hRule="atLeast"/>
        </w:trPr>
        <w:tc>
          <w:tcPr>
            <w:tcW w:w="174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松散地层</w:t>
            </w:r>
          </w:p>
        </w:tc>
        <w:tc>
          <w:tcPr>
            <w:tcW w:w="1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粒径≤0.5mm含量≥50%、含圆砾（角砾）及硬杂质≤10%的各类砂土、粘性土</w:t>
            </w:r>
          </w:p>
        </w:tc>
        <w:tc>
          <w:tcPr>
            <w:tcW w:w="1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粒径≤2.0mm含量≥50%、含圆砾（角砾）及硬杂质≤20%的各类砂土</w:t>
            </w:r>
          </w:p>
        </w:tc>
        <w:tc>
          <w:tcPr>
            <w:tcW w:w="1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粒径≤20mm含量≥50%、含圆砾（角砾）及硬杂质≤30%的各类碎石土</w:t>
            </w:r>
          </w:p>
        </w:tc>
        <w:tc>
          <w:tcPr>
            <w:tcW w:w="1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冻土层，粒径≤20mm含量≥50%、含圆砾（角砾）及硬杂质≤50%的各类碎石土</w:t>
            </w:r>
          </w:p>
        </w:tc>
        <w:tc>
          <w:tcPr>
            <w:tcW w:w="1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粒径≤100mm、含量≥50%的各类碎石土</w:t>
            </w:r>
          </w:p>
        </w:tc>
        <w:tc>
          <w:tcPr>
            <w:tcW w:w="17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粒径≤200mm、含量≥50%的各类碎石土</w:t>
            </w:r>
          </w:p>
        </w:tc>
        <w:tc>
          <w:tcPr>
            <w:tcW w:w="175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粒径＞200mm、含量≥50%的各类碎石土</w:t>
            </w:r>
          </w:p>
        </w:tc>
      </w:tr>
      <w:tr>
        <w:tblPrEx>
          <w:shd w:val="clear" w:color="auto" w:fill="auto"/>
          <w:tblLayout w:type="fixed"/>
          <w:tblCellMar>
            <w:top w:w="0" w:type="dxa"/>
            <w:left w:w="0" w:type="dxa"/>
            <w:bottom w:w="0" w:type="dxa"/>
            <w:right w:w="0" w:type="dxa"/>
          </w:tblCellMar>
        </w:tblPrEx>
        <w:trPr>
          <w:trHeight w:val="285" w:hRule="atLeast"/>
        </w:trPr>
        <w:tc>
          <w:tcPr>
            <w:tcW w:w="1748" w:type="dxa"/>
            <w:tcBorders>
              <w:top w:val="single" w:color="000000" w:sz="4" w:space="0"/>
              <w:left w:val="nil"/>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岩石地层</w:t>
            </w:r>
          </w:p>
        </w:tc>
        <w:tc>
          <w:tcPr>
            <w:tcW w:w="1748"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极软岩</w:t>
            </w:r>
          </w:p>
        </w:tc>
        <w:tc>
          <w:tcPr>
            <w:tcW w:w="1748"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软岩</w:t>
            </w:r>
          </w:p>
        </w:tc>
        <w:tc>
          <w:tcPr>
            <w:tcW w:w="1748"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较软岩</w:t>
            </w:r>
          </w:p>
        </w:tc>
        <w:tc>
          <w:tcPr>
            <w:tcW w:w="1748"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较硬岩</w:t>
            </w:r>
          </w:p>
        </w:tc>
        <w:tc>
          <w:tcPr>
            <w:tcW w:w="1748"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坚硬岩</w:t>
            </w:r>
          </w:p>
        </w:tc>
        <w:tc>
          <w:tcPr>
            <w:tcW w:w="1748" w:type="dxa"/>
            <w:tcBorders>
              <w:top w:val="single" w:color="000000" w:sz="4" w:space="0"/>
              <w:left w:val="single" w:color="000000" w:sz="4" w:space="0"/>
              <w:bottom w:val="single" w:color="000000" w:sz="8"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52" w:type="dxa"/>
            <w:tcBorders>
              <w:top w:val="single" w:color="000000" w:sz="4" w:space="0"/>
              <w:left w:val="single" w:color="000000" w:sz="4" w:space="0"/>
              <w:bottom w:val="single" w:color="000000" w:sz="8"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70" w:hRule="atLeast"/>
        </w:trPr>
        <w:tc>
          <w:tcPr>
            <w:tcW w:w="13988" w:type="dxa"/>
            <w:gridSpan w:val="8"/>
            <w:tcBorders>
              <w:top w:val="nil"/>
              <w:left w:val="nil"/>
              <w:bottom w:val="nil"/>
              <w:right w:val="nil"/>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注：土的分类见国标《供水水文地质勘察规范》，岩石的分类和鉴定见国标《岩土工程勘察规范》。</w:t>
            </w:r>
          </w:p>
        </w:tc>
      </w:tr>
    </w:tbl>
    <w:p>
      <w:pPr>
        <w:ind w:firstLine="560" w:firstLineChars="20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p>
    <w:tbl>
      <w:tblPr>
        <w:tblStyle w:val="11"/>
        <w:tblW w:w="13984" w:type="dxa"/>
        <w:tblInd w:w="0" w:type="dxa"/>
        <w:shd w:val="clear" w:color="auto" w:fill="auto"/>
        <w:tblLayout w:type="fixed"/>
        <w:tblCellMar>
          <w:top w:w="0" w:type="dxa"/>
          <w:left w:w="0" w:type="dxa"/>
          <w:bottom w:w="0" w:type="dxa"/>
          <w:right w:w="0" w:type="dxa"/>
        </w:tblCellMar>
      </w:tblPr>
      <w:tblGrid>
        <w:gridCol w:w="1569"/>
        <w:gridCol w:w="1927"/>
        <w:gridCol w:w="1743"/>
        <w:gridCol w:w="1755"/>
        <w:gridCol w:w="1740"/>
        <w:gridCol w:w="1770"/>
        <w:gridCol w:w="1740"/>
        <w:gridCol w:w="1740"/>
      </w:tblGrid>
      <w:tr>
        <w:tblPrEx>
          <w:tblLayout w:type="fixed"/>
          <w:tblCellMar>
            <w:top w:w="0" w:type="dxa"/>
            <w:left w:w="0" w:type="dxa"/>
            <w:bottom w:w="0" w:type="dxa"/>
            <w:right w:w="0" w:type="dxa"/>
          </w:tblCellMar>
        </w:tblPrEx>
        <w:trPr>
          <w:trHeight w:val="390" w:hRule="atLeast"/>
        </w:trPr>
        <w:tc>
          <w:tcPr>
            <w:tcW w:w="13984"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highlight w:val="none"/>
                <w:u w:val="none"/>
                <w:lang w:val="en-US" w:eastAsia="zh-CN"/>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14:textFill>
                  <w14:solidFill>
                    <w14:schemeClr w14:val="tx1"/>
                  </w14:solidFill>
                </w14:textFill>
              </w:rPr>
              <w:t xml:space="preserve">            水文地质钻探复杂程度表               </w:t>
            </w:r>
            <w:r>
              <w:rPr>
                <w:rFonts w:hint="eastAsia" w:asciiTheme="minorEastAsia" w:hAnsiTheme="minorEastAsia" w:cstheme="minorEastAsia"/>
                <w:b/>
                <w:i w:val="0"/>
                <w:color w:val="000000" w:themeColor="text1"/>
                <w:kern w:val="0"/>
                <w:sz w:val="24"/>
                <w:szCs w:val="24"/>
                <w:highlight w:val="none"/>
                <w:u w:val="none"/>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表</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10</w:t>
            </w:r>
          </w:p>
        </w:tc>
      </w:tr>
      <w:tr>
        <w:tblPrEx>
          <w:tblLayout w:type="fixed"/>
          <w:tblCellMar>
            <w:top w:w="0" w:type="dxa"/>
            <w:left w:w="0" w:type="dxa"/>
            <w:bottom w:w="0" w:type="dxa"/>
            <w:right w:w="0" w:type="dxa"/>
          </w:tblCellMar>
        </w:tblPrEx>
        <w:trPr>
          <w:trHeight w:val="300" w:hRule="atLeast"/>
        </w:trPr>
        <w:tc>
          <w:tcPr>
            <w:tcW w:w="1569" w:type="dxa"/>
            <w:tcBorders>
              <w:top w:val="single" w:color="000000" w:sz="8"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类别</w:t>
            </w:r>
          </w:p>
        </w:tc>
        <w:tc>
          <w:tcPr>
            <w:tcW w:w="192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I</w:t>
            </w:r>
          </w:p>
        </w:tc>
        <w:tc>
          <w:tcPr>
            <w:tcW w:w="1743"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II</w:t>
            </w:r>
          </w:p>
        </w:tc>
        <w:tc>
          <w:tcPr>
            <w:tcW w:w="175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III</w:t>
            </w:r>
          </w:p>
        </w:tc>
        <w:tc>
          <w:tcPr>
            <w:tcW w:w="174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IV</w:t>
            </w:r>
          </w:p>
        </w:tc>
        <w:tc>
          <w:tcPr>
            <w:tcW w:w="177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V</w:t>
            </w:r>
          </w:p>
        </w:tc>
        <w:tc>
          <w:tcPr>
            <w:tcW w:w="1740" w:type="dxa"/>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VI</w:t>
            </w:r>
          </w:p>
        </w:tc>
        <w:tc>
          <w:tcPr>
            <w:tcW w:w="1740" w:type="dxa"/>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VII</w:t>
            </w:r>
          </w:p>
        </w:tc>
      </w:tr>
      <w:tr>
        <w:tblPrEx>
          <w:shd w:val="clear" w:color="auto" w:fill="auto"/>
          <w:tblLayout w:type="fixed"/>
          <w:tblCellMar>
            <w:top w:w="0" w:type="dxa"/>
            <w:left w:w="0" w:type="dxa"/>
            <w:bottom w:w="0" w:type="dxa"/>
            <w:right w:w="0" w:type="dxa"/>
          </w:tblCellMar>
        </w:tblPrEx>
        <w:trPr>
          <w:trHeight w:val="480" w:hRule="atLeast"/>
        </w:trPr>
        <w:tc>
          <w:tcPr>
            <w:tcW w:w="156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松散地层</w:t>
            </w:r>
          </w:p>
        </w:tc>
        <w:tc>
          <w:tcPr>
            <w:tcW w:w="1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1.0 </w:t>
            </w:r>
          </w:p>
        </w:tc>
        <w:tc>
          <w:tcPr>
            <w:tcW w:w="1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1.5 </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2.0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2.5 </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3.0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3.6 </w:t>
            </w:r>
          </w:p>
        </w:tc>
        <w:tc>
          <w:tcPr>
            <w:tcW w:w="17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4.8</w:t>
            </w:r>
          </w:p>
        </w:tc>
      </w:tr>
      <w:tr>
        <w:tblPrEx>
          <w:shd w:val="clear" w:color="auto" w:fill="auto"/>
          <w:tblLayout w:type="fixed"/>
          <w:tblCellMar>
            <w:top w:w="0" w:type="dxa"/>
            <w:left w:w="0" w:type="dxa"/>
            <w:bottom w:w="0" w:type="dxa"/>
            <w:right w:w="0" w:type="dxa"/>
          </w:tblCellMar>
        </w:tblPrEx>
        <w:trPr>
          <w:trHeight w:val="540" w:hRule="atLeast"/>
        </w:trPr>
        <w:tc>
          <w:tcPr>
            <w:tcW w:w="1569"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岩石地层</w:t>
            </w:r>
          </w:p>
        </w:tc>
        <w:tc>
          <w:tcPr>
            <w:tcW w:w="1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1.8 </w:t>
            </w:r>
          </w:p>
        </w:tc>
        <w:tc>
          <w:tcPr>
            <w:tcW w:w="1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2.6 </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3.4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4.2 </w:t>
            </w:r>
          </w:p>
        </w:tc>
        <w:tc>
          <w:tcPr>
            <w:tcW w:w="1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5.0 </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1569" w:type="dxa"/>
            <w:tcBorders>
              <w:top w:val="single" w:color="000000" w:sz="4" w:space="0"/>
              <w:left w:val="nil"/>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2415" w:type="dxa"/>
            <w:gridSpan w:val="7"/>
            <w:tcBorders>
              <w:top w:val="single" w:color="000000" w:sz="4" w:space="0"/>
              <w:left w:val="single" w:color="000000" w:sz="4" w:space="0"/>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岩石破碎带钻进取芯时，附加调整系数为1.5</w:t>
            </w:r>
          </w:p>
        </w:tc>
      </w:tr>
    </w:tbl>
    <w:p>
      <w:pPr>
        <w:ind w:firstLine="560" w:firstLineChars="20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sectPr>
          <w:pgSz w:w="16838" w:h="11906" w:orient="landscape"/>
          <w:pgMar w:top="1800" w:right="1440" w:bottom="1800" w:left="144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p>
    <w:tbl>
      <w:tblPr>
        <w:tblStyle w:val="11"/>
        <w:tblW w:w="8880" w:type="dxa"/>
        <w:tblInd w:w="0" w:type="dxa"/>
        <w:shd w:val="clear" w:color="auto" w:fill="auto"/>
        <w:tblLayout w:type="fixed"/>
        <w:tblCellMar>
          <w:top w:w="0" w:type="dxa"/>
          <w:left w:w="0" w:type="dxa"/>
          <w:bottom w:w="0" w:type="dxa"/>
          <w:right w:w="0" w:type="dxa"/>
        </w:tblCellMar>
      </w:tblPr>
      <w:tblGrid>
        <w:gridCol w:w="637"/>
        <w:gridCol w:w="867"/>
        <w:gridCol w:w="1681"/>
        <w:gridCol w:w="1681"/>
        <w:gridCol w:w="4014"/>
      </w:tblGrid>
      <w:tr>
        <w:tblPrEx>
          <w:shd w:val="clear" w:color="auto" w:fill="auto"/>
          <w:tblLayout w:type="fixed"/>
          <w:tblCellMar>
            <w:top w:w="0" w:type="dxa"/>
            <w:left w:w="0" w:type="dxa"/>
            <w:bottom w:w="0" w:type="dxa"/>
            <w:right w:w="0" w:type="dxa"/>
          </w:tblCellMar>
        </w:tblPrEx>
        <w:trPr>
          <w:trHeight w:val="360" w:hRule="atLeast"/>
        </w:trPr>
        <w:tc>
          <w:tcPr>
            <w:tcW w:w="8880"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highlight w:val="none"/>
                <w:u w:val="none"/>
                <w:lang w:eastAsia="zh-CN"/>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14:textFill>
                  <w14:solidFill>
                    <w14:schemeClr w14:val="tx1"/>
                  </w14:solidFill>
                </w14:textFill>
              </w:rPr>
              <w:t xml:space="preserve">                水文地质钻探孔深、孔径系数表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表1</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1</w:t>
            </w:r>
          </w:p>
        </w:tc>
      </w:tr>
      <w:tr>
        <w:tblPrEx>
          <w:tblLayout w:type="fixed"/>
          <w:tblCellMar>
            <w:top w:w="0" w:type="dxa"/>
            <w:left w:w="0" w:type="dxa"/>
            <w:bottom w:w="0" w:type="dxa"/>
            <w:right w:w="0" w:type="dxa"/>
          </w:tblCellMar>
        </w:tblPrEx>
        <w:trPr>
          <w:trHeight w:val="520" w:hRule="atLeast"/>
        </w:trPr>
        <w:tc>
          <w:tcPr>
            <w:tcW w:w="63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序号</w:t>
            </w:r>
          </w:p>
        </w:tc>
        <w:tc>
          <w:tcPr>
            <w:tcW w:w="422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项目</w:t>
            </w:r>
          </w:p>
        </w:tc>
        <w:tc>
          <w:tcPr>
            <w:tcW w:w="4014"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孔深系数</w:t>
            </w:r>
          </w:p>
        </w:tc>
      </w:tr>
      <w:tr>
        <w:tblPrEx>
          <w:shd w:val="clear" w:color="auto" w:fill="auto"/>
          <w:tblLayout w:type="fixed"/>
          <w:tblCellMar>
            <w:top w:w="0" w:type="dxa"/>
            <w:left w:w="0" w:type="dxa"/>
            <w:bottom w:w="0" w:type="dxa"/>
            <w:right w:w="0" w:type="dxa"/>
          </w:tblCellMar>
        </w:tblPrEx>
        <w:trPr>
          <w:trHeight w:val="360" w:hRule="atLeast"/>
        </w:trPr>
        <w:tc>
          <w:tcPr>
            <w:tcW w:w="637"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钻孔深度D(m)</w:t>
            </w:r>
          </w:p>
        </w:tc>
        <w:tc>
          <w:tcPr>
            <w:tcW w:w="33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D≤50</w:t>
            </w:r>
          </w:p>
        </w:tc>
        <w:tc>
          <w:tcPr>
            <w:tcW w:w="4014"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1.2 </w:t>
            </w:r>
          </w:p>
        </w:tc>
      </w:tr>
      <w:tr>
        <w:tblPrEx>
          <w:shd w:val="clear" w:color="auto" w:fill="auto"/>
          <w:tblLayout w:type="fixed"/>
          <w:tblCellMar>
            <w:top w:w="0" w:type="dxa"/>
            <w:left w:w="0" w:type="dxa"/>
            <w:bottom w:w="0" w:type="dxa"/>
            <w:right w:w="0" w:type="dxa"/>
          </w:tblCellMar>
        </w:tblPrEx>
        <w:trPr>
          <w:trHeight w:val="360" w:hRule="atLeast"/>
        </w:trPr>
        <w:tc>
          <w:tcPr>
            <w:tcW w:w="637"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50＜D≤100</w:t>
            </w:r>
          </w:p>
        </w:tc>
        <w:tc>
          <w:tcPr>
            <w:tcW w:w="4014"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1.0 </w:t>
            </w:r>
          </w:p>
        </w:tc>
      </w:tr>
      <w:tr>
        <w:tblPrEx>
          <w:tblLayout w:type="fixed"/>
          <w:tblCellMar>
            <w:top w:w="0" w:type="dxa"/>
            <w:left w:w="0" w:type="dxa"/>
            <w:bottom w:w="0" w:type="dxa"/>
            <w:right w:w="0" w:type="dxa"/>
          </w:tblCellMar>
        </w:tblPrEx>
        <w:trPr>
          <w:trHeight w:val="360" w:hRule="atLeast"/>
        </w:trPr>
        <w:tc>
          <w:tcPr>
            <w:tcW w:w="637"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100＜D≤150</w:t>
            </w:r>
          </w:p>
        </w:tc>
        <w:tc>
          <w:tcPr>
            <w:tcW w:w="4014"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1.2 </w:t>
            </w:r>
          </w:p>
        </w:tc>
      </w:tr>
      <w:tr>
        <w:tblPrEx>
          <w:tblLayout w:type="fixed"/>
          <w:tblCellMar>
            <w:top w:w="0" w:type="dxa"/>
            <w:left w:w="0" w:type="dxa"/>
            <w:bottom w:w="0" w:type="dxa"/>
            <w:right w:w="0" w:type="dxa"/>
          </w:tblCellMar>
        </w:tblPrEx>
        <w:trPr>
          <w:trHeight w:val="360" w:hRule="atLeast"/>
        </w:trPr>
        <w:tc>
          <w:tcPr>
            <w:tcW w:w="637"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3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150＜D≤200</w:t>
            </w:r>
          </w:p>
        </w:tc>
        <w:tc>
          <w:tcPr>
            <w:tcW w:w="4014"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1.4 </w:t>
            </w:r>
          </w:p>
        </w:tc>
      </w:tr>
      <w:tr>
        <w:tblPrEx>
          <w:tblLayout w:type="fixed"/>
          <w:tblCellMar>
            <w:top w:w="0" w:type="dxa"/>
            <w:left w:w="0" w:type="dxa"/>
            <w:bottom w:w="0" w:type="dxa"/>
            <w:right w:w="0" w:type="dxa"/>
          </w:tblCellMar>
        </w:tblPrEx>
        <w:trPr>
          <w:trHeight w:val="360" w:hRule="atLeast"/>
        </w:trPr>
        <w:tc>
          <w:tcPr>
            <w:tcW w:w="637"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w:t>
            </w:r>
          </w:p>
        </w:tc>
        <w:tc>
          <w:tcPr>
            <w:tcW w:w="8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钻孔孔径φ(m)</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松散地层</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岩石地层</w:t>
            </w:r>
          </w:p>
        </w:tc>
        <w:tc>
          <w:tcPr>
            <w:tcW w:w="4014"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孔径系数</w:t>
            </w:r>
          </w:p>
        </w:tc>
      </w:tr>
      <w:tr>
        <w:tblPrEx>
          <w:tblLayout w:type="fixed"/>
          <w:tblCellMar>
            <w:top w:w="0" w:type="dxa"/>
            <w:left w:w="0" w:type="dxa"/>
            <w:bottom w:w="0" w:type="dxa"/>
            <w:right w:w="0" w:type="dxa"/>
          </w:tblCellMar>
        </w:tblPrEx>
        <w:trPr>
          <w:trHeight w:val="360" w:hRule="atLeast"/>
        </w:trPr>
        <w:tc>
          <w:tcPr>
            <w:tcW w:w="637"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φ≤350</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φ≤150</w:t>
            </w:r>
          </w:p>
        </w:tc>
        <w:tc>
          <w:tcPr>
            <w:tcW w:w="4014"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0.9 </w:t>
            </w:r>
          </w:p>
        </w:tc>
      </w:tr>
      <w:tr>
        <w:tblPrEx>
          <w:shd w:val="clear" w:color="auto" w:fill="auto"/>
          <w:tblLayout w:type="fixed"/>
          <w:tblCellMar>
            <w:top w:w="0" w:type="dxa"/>
            <w:left w:w="0" w:type="dxa"/>
            <w:bottom w:w="0" w:type="dxa"/>
            <w:right w:w="0" w:type="dxa"/>
          </w:tblCellMar>
        </w:tblPrEx>
        <w:trPr>
          <w:trHeight w:val="360" w:hRule="atLeast"/>
        </w:trPr>
        <w:tc>
          <w:tcPr>
            <w:tcW w:w="637"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350＜D≤400</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150＜D≤200</w:t>
            </w:r>
          </w:p>
        </w:tc>
        <w:tc>
          <w:tcPr>
            <w:tcW w:w="4014"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 xml:space="preserve">1.0 </w:t>
            </w:r>
          </w:p>
        </w:tc>
      </w:tr>
    </w:tbl>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p>
    <w:tbl>
      <w:tblPr>
        <w:tblStyle w:val="11"/>
        <w:tblW w:w="8873" w:type="dxa"/>
        <w:tblInd w:w="0" w:type="dxa"/>
        <w:shd w:val="clear" w:color="auto" w:fill="auto"/>
        <w:tblLayout w:type="fixed"/>
        <w:tblCellMar>
          <w:top w:w="0" w:type="dxa"/>
          <w:left w:w="0" w:type="dxa"/>
          <w:bottom w:w="0" w:type="dxa"/>
          <w:right w:w="0" w:type="dxa"/>
        </w:tblCellMar>
      </w:tblPr>
      <w:tblGrid>
        <w:gridCol w:w="1067"/>
        <w:gridCol w:w="4065"/>
        <w:gridCol w:w="1354"/>
        <w:gridCol w:w="1159"/>
        <w:gridCol w:w="1228"/>
      </w:tblGrid>
      <w:tr>
        <w:tblPrEx>
          <w:shd w:val="clear" w:color="auto" w:fill="auto"/>
          <w:tblLayout w:type="fixed"/>
          <w:tblCellMar>
            <w:top w:w="0" w:type="dxa"/>
            <w:left w:w="0" w:type="dxa"/>
            <w:bottom w:w="0" w:type="dxa"/>
            <w:right w:w="0" w:type="dxa"/>
          </w:tblCellMar>
        </w:tblPrEx>
        <w:trPr>
          <w:trHeight w:val="600" w:hRule="atLeast"/>
        </w:trPr>
        <w:tc>
          <w:tcPr>
            <w:tcW w:w="8873"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highlight w:val="none"/>
                <w:u w:val="none"/>
                <w:lang w:val="en-US" w:eastAsia="zh-CN"/>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14:textFill>
                  <w14:solidFill>
                    <w14:schemeClr w14:val="tx1"/>
                  </w14:solidFill>
                </w14:textFill>
              </w:rPr>
              <w:t xml:space="preserve">              水文地质勘察技术工作计费比例表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表1</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2</w:t>
            </w:r>
          </w:p>
        </w:tc>
      </w:tr>
      <w:tr>
        <w:tblPrEx>
          <w:shd w:val="clear" w:color="auto" w:fill="auto"/>
          <w:tblLayout w:type="fixed"/>
          <w:tblCellMar>
            <w:top w:w="0" w:type="dxa"/>
            <w:left w:w="0" w:type="dxa"/>
            <w:bottom w:w="0" w:type="dxa"/>
            <w:right w:w="0" w:type="dxa"/>
          </w:tblCellMar>
        </w:tblPrEx>
        <w:trPr>
          <w:trHeight w:val="360" w:hRule="atLeast"/>
        </w:trPr>
        <w:tc>
          <w:tcPr>
            <w:tcW w:w="1067"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序号</w:t>
            </w:r>
          </w:p>
        </w:tc>
        <w:tc>
          <w:tcPr>
            <w:tcW w:w="40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项目</w:t>
            </w:r>
          </w:p>
        </w:tc>
        <w:tc>
          <w:tcPr>
            <w:tcW w:w="3741" w:type="dxa"/>
            <w:gridSpan w:val="3"/>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技术工作计费比例%</w:t>
            </w:r>
          </w:p>
        </w:tc>
      </w:tr>
      <w:tr>
        <w:tblPrEx>
          <w:shd w:val="clear" w:color="auto" w:fill="auto"/>
          <w:tblLayout w:type="fixed"/>
          <w:tblCellMar>
            <w:top w:w="0" w:type="dxa"/>
            <w:left w:w="0" w:type="dxa"/>
            <w:bottom w:w="0" w:type="dxa"/>
            <w:right w:w="0" w:type="dxa"/>
          </w:tblCellMar>
        </w:tblPrEx>
        <w:trPr>
          <w:trHeight w:val="360" w:hRule="atLeast"/>
        </w:trPr>
        <w:tc>
          <w:tcPr>
            <w:tcW w:w="1067"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0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简单</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中等</w:t>
            </w:r>
          </w:p>
        </w:tc>
        <w:tc>
          <w:tcPr>
            <w:tcW w:w="1228"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复杂</w:t>
            </w:r>
          </w:p>
        </w:tc>
      </w:tr>
      <w:tr>
        <w:tblPrEx>
          <w:shd w:val="clear" w:color="auto" w:fill="auto"/>
          <w:tblLayout w:type="fixed"/>
          <w:tblCellMar>
            <w:top w:w="0" w:type="dxa"/>
            <w:left w:w="0" w:type="dxa"/>
            <w:bottom w:w="0" w:type="dxa"/>
            <w:right w:w="0" w:type="dxa"/>
          </w:tblCellMar>
        </w:tblPrEx>
        <w:trPr>
          <w:trHeight w:val="360" w:hRule="atLeast"/>
        </w:trPr>
        <w:tc>
          <w:tcPr>
            <w:tcW w:w="106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w:t>
            </w:r>
          </w:p>
        </w:tc>
        <w:tc>
          <w:tcPr>
            <w:tcW w:w="4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供水井、凿井</w:t>
            </w: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15</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18</w:t>
            </w:r>
          </w:p>
        </w:tc>
        <w:tc>
          <w:tcPr>
            <w:tcW w:w="1228"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20</w:t>
            </w:r>
          </w:p>
        </w:tc>
      </w:tr>
      <w:tr>
        <w:tblPrEx>
          <w:tblLayout w:type="fixed"/>
          <w:tblCellMar>
            <w:top w:w="0" w:type="dxa"/>
            <w:left w:w="0" w:type="dxa"/>
            <w:bottom w:w="0" w:type="dxa"/>
            <w:right w:w="0" w:type="dxa"/>
          </w:tblCellMar>
        </w:tblPrEx>
        <w:trPr>
          <w:trHeight w:val="360" w:hRule="atLeast"/>
        </w:trPr>
        <w:tc>
          <w:tcPr>
            <w:tcW w:w="1067"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w:t>
            </w:r>
          </w:p>
        </w:tc>
        <w:tc>
          <w:tcPr>
            <w:tcW w:w="4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其他水文地质勘察</w:t>
            </w: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27</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30</w:t>
            </w:r>
          </w:p>
        </w:tc>
        <w:tc>
          <w:tcPr>
            <w:tcW w:w="1228"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33</w:t>
            </w:r>
          </w:p>
        </w:tc>
      </w:tr>
    </w:tbl>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br w:type="page"/>
      </w:r>
    </w:p>
    <w:p>
      <w:pPr>
        <w:ind w:firstLine="560" w:firstLineChars="20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p>
    <w:tbl>
      <w:tblPr>
        <w:tblStyle w:val="11"/>
        <w:tblW w:w="8336" w:type="dxa"/>
        <w:tblInd w:w="0" w:type="dxa"/>
        <w:shd w:val="clear" w:color="auto" w:fill="auto"/>
        <w:tblLayout w:type="fixed"/>
        <w:tblCellMar>
          <w:top w:w="0" w:type="dxa"/>
          <w:left w:w="0" w:type="dxa"/>
          <w:bottom w:w="0" w:type="dxa"/>
          <w:right w:w="0" w:type="dxa"/>
        </w:tblCellMar>
      </w:tblPr>
      <w:tblGrid>
        <w:gridCol w:w="548"/>
        <w:gridCol w:w="2345"/>
        <w:gridCol w:w="1744"/>
        <w:gridCol w:w="1062"/>
        <w:gridCol w:w="1062"/>
        <w:gridCol w:w="1575"/>
      </w:tblGrid>
      <w:tr>
        <w:tblPrEx>
          <w:shd w:val="clear" w:color="auto" w:fill="auto"/>
          <w:tblLayout w:type="fixed"/>
          <w:tblCellMar>
            <w:top w:w="0" w:type="dxa"/>
            <w:left w:w="0" w:type="dxa"/>
            <w:bottom w:w="0" w:type="dxa"/>
            <w:right w:w="0" w:type="dxa"/>
          </w:tblCellMar>
        </w:tblPrEx>
        <w:trPr>
          <w:trHeight w:val="540" w:hRule="atLeast"/>
        </w:trPr>
        <w:tc>
          <w:tcPr>
            <w:tcW w:w="8336"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highlight w:val="none"/>
                <w:u w:val="none"/>
                <w:lang w:val="en-US" w:eastAsia="zh-CN"/>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14:textFill>
                  <w14:solidFill>
                    <w14:schemeClr w14:val="tx1"/>
                  </w14:solidFill>
                </w14:textFill>
              </w:rPr>
              <w:t xml:space="preserve">    现场测试与取样实物工作收费基价表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表1</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3</w:t>
            </w:r>
          </w:p>
        </w:tc>
      </w:tr>
      <w:tr>
        <w:tblPrEx>
          <w:shd w:val="clear" w:color="auto" w:fill="auto"/>
          <w:tblLayout w:type="fixed"/>
          <w:tblCellMar>
            <w:top w:w="0" w:type="dxa"/>
            <w:left w:w="0" w:type="dxa"/>
            <w:bottom w:w="0" w:type="dxa"/>
            <w:right w:w="0" w:type="dxa"/>
          </w:tblCellMar>
        </w:tblPrEx>
        <w:trPr>
          <w:trHeight w:val="360" w:hRule="atLeast"/>
        </w:trPr>
        <w:tc>
          <w:tcPr>
            <w:tcW w:w="54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序号</w:t>
            </w:r>
          </w:p>
        </w:tc>
        <w:tc>
          <w:tcPr>
            <w:tcW w:w="515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项目</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计费单位</w:t>
            </w:r>
          </w:p>
        </w:tc>
        <w:tc>
          <w:tcPr>
            <w:tcW w:w="157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收费基价(元)</w:t>
            </w:r>
          </w:p>
        </w:tc>
      </w:tr>
      <w:tr>
        <w:tblPrEx>
          <w:shd w:val="clear" w:color="auto" w:fill="auto"/>
          <w:tblLayout w:type="fixed"/>
          <w:tblCellMar>
            <w:top w:w="0" w:type="dxa"/>
            <w:left w:w="0" w:type="dxa"/>
            <w:bottom w:w="0" w:type="dxa"/>
            <w:right w:w="0" w:type="dxa"/>
          </w:tblCellMar>
        </w:tblPrEx>
        <w:trPr>
          <w:trHeight w:val="360" w:hRule="atLeast"/>
        </w:trPr>
        <w:tc>
          <w:tcPr>
            <w:tcW w:w="54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w:t>
            </w:r>
          </w:p>
        </w:tc>
        <w:tc>
          <w:tcPr>
            <w:tcW w:w="515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抽水试验</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台班</w:t>
            </w:r>
          </w:p>
        </w:tc>
        <w:tc>
          <w:tcPr>
            <w:tcW w:w="157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504</w:t>
            </w:r>
          </w:p>
        </w:tc>
      </w:tr>
      <w:tr>
        <w:tblPrEx>
          <w:shd w:val="clear" w:color="auto" w:fill="auto"/>
          <w:tblLayout w:type="fixed"/>
          <w:tblCellMar>
            <w:top w:w="0" w:type="dxa"/>
            <w:left w:w="0" w:type="dxa"/>
            <w:bottom w:w="0" w:type="dxa"/>
            <w:right w:w="0" w:type="dxa"/>
          </w:tblCellMar>
        </w:tblPrEx>
        <w:trPr>
          <w:trHeight w:val="360" w:hRule="atLeast"/>
        </w:trPr>
        <w:tc>
          <w:tcPr>
            <w:tcW w:w="548"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w:t>
            </w:r>
          </w:p>
        </w:tc>
        <w:tc>
          <w:tcPr>
            <w:tcW w:w="2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放射性同位素测试</w:t>
            </w: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单井稀释法</w:t>
            </w: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57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324</w:t>
            </w:r>
          </w:p>
        </w:tc>
      </w:tr>
      <w:tr>
        <w:tblPrEx>
          <w:shd w:val="clear" w:color="auto" w:fill="auto"/>
          <w:tblLayout w:type="fixed"/>
          <w:tblCellMar>
            <w:top w:w="0" w:type="dxa"/>
            <w:left w:w="0" w:type="dxa"/>
            <w:bottom w:w="0" w:type="dxa"/>
            <w:right w:w="0" w:type="dxa"/>
          </w:tblCellMar>
        </w:tblPrEx>
        <w:trPr>
          <w:trHeight w:val="360" w:hRule="atLeast"/>
        </w:trPr>
        <w:tc>
          <w:tcPr>
            <w:tcW w:w="548"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多井法</w:t>
            </w: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57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504</w:t>
            </w:r>
          </w:p>
        </w:tc>
      </w:tr>
      <w:tr>
        <w:tblPrEx>
          <w:shd w:val="clear" w:color="auto" w:fill="auto"/>
          <w:tblLayout w:type="fixed"/>
          <w:tblCellMar>
            <w:top w:w="0" w:type="dxa"/>
            <w:left w:w="0" w:type="dxa"/>
            <w:bottom w:w="0" w:type="dxa"/>
            <w:right w:w="0" w:type="dxa"/>
          </w:tblCellMar>
        </w:tblPrEx>
        <w:trPr>
          <w:trHeight w:val="360" w:hRule="atLeast"/>
        </w:trPr>
        <w:tc>
          <w:tcPr>
            <w:tcW w:w="548"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443"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放射性同位素测试原料的购置费、运输费另计</w:t>
            </w:r>
          </w:p>
        </w:tc>
      </w:tr>
      <w:tr>
        <w:tblPrEx>
          <w:shd w:val="clear" w:color="auto" w:fill="auto"/>
          <w:tblLayout w:type="fixed"/>
          <w:tblCellMar>
            <w:top w:w="0" w:type="dxa"/>
            <w:left w:w="0" w:type="dxa"/>
            <w:bottom w:w="0" w:type="dxa"/>
            <w:right w:w="0" w:type="dxa"/>
          </w:tblCellMar>
        </w:tblPrEx>
        <w:trPr>
          <w:trHeight w:val="360" w:hRule="atLeast"/>
        </w:trPr>
        <w:tc>
          <w:tcPr>
            <w:tcW w:w="548"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w:t>
            </w:r>
          </w:p>
        </w:tc>
        <w:tc>
          <w:tcPr>
            <w:tcW w:w="2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弥散试验</w:t>
            </w: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单井稀释法</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台班</w:t>
            </w:r>
          </w:p>
        </w:tc>
        <w:tc>
          <w:tcPr>
            <w:tcW w:w="157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504</w:t>
            </w:r>
          </w:p>
        </w:tc>
      </w:tr>
      <w:tr>
        <w:tblPrEx>
          <w:shd w:val="clear" w:color="auto" w:fill="auto"/>
          <w:tblLayout w:type="fixed"/>
          <w:tblCellMar>
            <w:top w:w="0" w:type="dxa"/>
            <w:left w:w="0" w:type="dxa"/>
            <w:bottom w:w="0" w:type="dxa"/>
            <w:right w:w="0" w:type="dxa"/>
          </w:tblCellMar>
        </w:tblPrEx>
        <w:trPr>
          <w:trHeight w:val="360" w:hRule="atLeast"/>
        </w:trPr>
        <w:tc>
          <w:tcPr>
            <w:tcW w:w="548"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多井法</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57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708</w:t>
            </w:r>
          </w:p>
        </w:tc>
      </w:tr>
      <w:tr>
        <w:tblPrEx>
          <w:shd w:val="clear" w:color="auto" w:fill="auto"/>
          <w:tblLayout w:type="fixed"/>
          <w:tblCellMar>
            <w:top w:w="0" w:type="dxa"/>
            <w:left w:w="0" w:type="dxa"/>
            <w:bottom w:w="0" w:type="dxa"/>
            <w:right w:w="0" w:type="dxa"/>
          </w:tblCellMar>
        </w:tblPrEx>
        <w:trPr>
          <w:trHeight w:val="360" w:hRule="atLeast"/>
        </w:trPr>
        <w:tc>
          <w:tcPr>
            <w:tcW w:w="548"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443"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示踪剂的化学分析费另计</w:t>
            </w:r>
          </w:p>
        </w:tc>
      </w:tr>
      <w:tr>
        <w:tblPrEx>
          <w:shd w:val="clear" w:color="auto" w:fill="auto"/>
          <w:tblLayout w:type="fixed"/>
          <w:tblCellMar>
            <w:top w:w="0" w:type="dxa"/>
            <w:left w:w="0" w:type="dxa"/>
            <w:bottom w:w="0" w:type="dxa"/>
            <w:right w:w="0" w:type="dxa"/>
          </w:tblCellMar>
        </w:tblPrEx>
        <w:trPr>
          <w:trHeight w:val="360" w:hRule="atLeast"/>
        </w:trPr>
        <w:tc>
          <w:tcPr>
            <w:tcW w:w="54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w:t>
            </w:r>
          </w:p>
        </w:tc>
        <w:tc>
          <w:tcPr>
            <w:tcW w:w="2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渗水试验</w:t>
            </w: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自然方式</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台班</w:t>
            </w:r>
          </w:p>
        </w:tc>
        <w:tc>
          <w:tcPr>
            <w:tcW w:w="157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204</w:t>
            </w:r>
          </w:p>
        </w:tc>
      </w:tr>
      <w:tr>
        <w:tblPrEx>
          <w:shd w:val="clear" w:color="auto" w:fill="auto"/>
          <w:tblLayout w:type="fixed"/>
          <w:tblCellMar>
            <w:top w:w="0" w:type="dxa"/>
            <w:left w:w="0" w:type="dxa"/>
            <w:bottom w:w="0" w:type="dxa"/>
            <w:right w:w="0" w:type="dxa"/>
          </w:tblCellMar>
        </w:tblPrEx>
        <w:trPr>
          <w:trHeight w:val="360" w:hRule="atLeast"/>
        </w:trPr>
        <w:tc>
          <w:tcPr>
            <w:tcW w:w="54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w:t>
            </w:r>
          </w:p>
        </w:tc>
        <w:tc>
          <w:tcPr>
            <w:tcW w:w="2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测流速流量</w:t>
            </w: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井内测试</w:t>
            </w: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57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204</w:t>
            </w:r>
          </w:p>
        </w:tc>
      </w:tr>
      <w:tr>
        <w:tblPrEx>
          <w:shd w:val="clear" w:color="auto" w:fill="auto"/>
          <w:tblLayout w:type="fixed"/>
          <w:tblCellMar>
            <w:top w:w="0" w:type="dxa"/>
            <w:left w:w="0" w:type="dxa"/>
            <w:bottom w:w="0" w:type="dxa"/>
            <w:right w:w="0" w:type="dxa"/>
          </w:tblCellMar>
        </w:tblPrEx>
        <w:trPr>
          <w:trHeight w:val="360" w:hRule="atLeast"/>
        </w:trPr>
        <w:tc>
          <w:tcPr>
            <w:tcW w:w="54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6</w:t>
            </w:r>
          </w:p>
        </w:tc>
        <w:tc>
          <w:tcPr>
            <w:tcW w:w="2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连通试验</w:t>
            </w: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井内测试</w:t>
            </w: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57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252</w:t>
            </w:r>
          </w:p>
        </w:tc>
      </w:tr>
      <w:tr>
        <w:tblPrEx>
          <w:shd w:val="clear" w:color="auto" w:fill="auto"/>
          <w:tblLayout w:type="fixed"/>
          <w:tblCellMar>
            <w:top w:w="0" w:type="dxa"/>
            <w:left w:w="0" w:type="dxa"/>
            <w:bottom w:w="0" w:type="dxa"/>
            <w:right w:w="0" w:type="dxa"/>
          </w:tblCellMar>
        </w:tblPrEx>
        <w:trPr>
          <w:trHeight w:val="360" w:hRule="atLeast"/>
        </w:trPr>
        <w:tc>
          <w:tcPr>
            <w:tcW w:w="548"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7</w:t>
            </w:r>
          </w:p>
        </w:tc>
        <w:tc>
          <w:tcPr>
            <w:tcW w:w="23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地下水位（温）观测</w:t>
            </w:r>
          </w:p>
        </w:tc>
        <w:tc>
          <w:tcPr>
            <w:tcW w:w="280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试验观测孔</w:t>
            </w: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57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102</w:t>
            </w:r>
          </w:p>
        </w:tc>
      </w:tr>
      <w:tr>
        <w:tblPrEx>
          <w:shd w:val="clear" w:color="auto" w:fill="auto"/>
          <w:tblLayout w:type="fixed"/>
          <w:tblCellMar>
            <w:top w:w="0" w:type="dxa"/>
            <w:left w:w="0" w:type="dxa"/>
            <w:bottom w:w="0" w:type="dxa"/>
            <w:right w:w="0" w:type="dxa"/>
          </w:tblCellMar>
        </w:tblPrEx>
        <w:trPr>
          <w:trHeight w:val="360" w:hRule="atLeast"/>
        </w:trPr>
        <w:tc>
          <w:tcPr>
            <w:tcW w:w="548"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动态观测距离L(km)</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L≤5</w:t>
            </w:r>
          </w:p>
        </w:tc>
        <w:tc>
          <w:tcPr>
            <w:tcW w:w="10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次</w:t>
            </w:r>
          </w:p>
        </w:tc>
        <w:tc>
          <w:tcPr>
            <w:tcW w:w="157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12</w:t>
            </w:r>
          </w:p>
        </w:tc>
      </w:tr>
      <w:tr>
        <w:tblPrEx>
          <w:shd w:val="clear" w:color="auto" w:fill="auto"/>
          <w:tblLayout w:type="fixed"/>
          <w:tblCellMar>
            <w:top w:w="0" w:type="dxa"/>
            <w:left w:w="0" w:type="dxa"/>
            <w:bottom w:w="0" w:type="dxa"/>
            <w:right w:w="0" w:type="dxa"/>
          </w:tblCellMar>
        </w:tblPrEx>
        <w:trPr>
          <w:trHeight w:val="360" w:hRule="atLeast"/>
        </w:trPr>
        <w:tc>
          <w:tcPr>
            <w:tcW w:w="548"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5＜L≤10</w:t>
            </w: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57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24</w:t>
            </w:r>
          </w:p>
        </w:tc>
      </w:tr>
      <w:tr>
        <w:tblPrEx>
          <w:shd w:val="clear" w:color="auto" w:fill="auto"/>
          <w:tblLayout w:type="fixed"/>
          <w:tblCellMar>
            <w:top w:w="0" w:type="dxa"/>
            <w:left w:w="0" w:type="dxa"/>
            <w:bottom w:w="0" w:type="dxa"/>
            <w:right w:w="0" w:type="dxa"/>
          </w:tblCellMar>
        </w:tblPrEx>
        <w:trPr>
          <w:trHeight w:val="360" w:hRule="atLeast"/>
        </w:trPr>
        <w:tc>
          <w:tcPr>
            <w:tcW w:w="548"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L＞10</w:t>
            </w:r>
          </w:p>
        </w:tc>
        <w:tc>
          <w:tcPr>
            <w:tcW w:w="10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575"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30</w:t>
            </w:r>
          </w:p>
        </w:tc>
      </w:tr>
      <w:tr>
        <w:tblPrEx>
          <w:shd w:val="clear" w:color="auto" w:fill="auto"/>
          <w:tblLayout w:type="fixed"/>
          <w:tblCellMar>
            <w:top w:w="0" w:type="dxa"/>
            <w:left w:w="0" w:type="dxa"/>
            <w:bottom w:w="0" w:type="dxa"/>
            <w:right w:w="0" w:type="dxa"/>
          </w:tblCellMar>
        </w:tblPrEx>
        <w:trPr>
          <w:trHeight w:val="360" w:hRule="atLeast"/>
        </w:trPr>
        <w:tc>
          <w:tcPr>
            <w:tcW w:w="548"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443"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地下水位、水温同时观测时，附加调整系数为1.3</w:t>
            </w:r>
          </w:p>
        </w:tc>
      </w:tr>
      <w:tr>
        <w:tblPrEx>
          <w:shd w:val="clear" w:color="auto" w:fill="auto"/>
          <w:tblLayout w:type="fixed"/>
          <w:tblCellMar>
            <w:top w:w="0" w:type="dxa"/>
            <w:left w:w="0" w:type="dxa"/>
            <w:bottom w:w="0" w:type="dxa"/>
            <w:right w:w="0" w:type="dxa"/>
          </w:tblCellMar>
        </w:tblPrEx>
        <w:trPr>
          <w:trHeight w:val="360" w:hRule="atLeast"/>
        </w:trPr>
        <w:tc>
          <w:tcPr>
            <w:tcW w:w="54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8</w:t>
            </w:r>
          </w:p>
        </w:tc>
        <w:tc>
          <w:tcPr>
            <w:tcW w:w="23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取试样</w:t>
            </w:r>
          </w:p>
        </w:tc>
        <w:tc>
          <w:tcPr>
            <w:tcW w:w="5443"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取土、石、水试样计费基价见表1.4</w:t>
            </w:r>
          </w:p>
        </w:tc>
      </w:tr>
    </w:tbl>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br w:type="page"/>
      </w:r>
    </w:p>
    <w:tbl>
      <w:tblPr>
        <w:tblStyle w:val="11"/>
        <w:tblW w:w="8336" w:type="dxa"/>
        <w:tblInd w:w="0" w:type="dxa"/>
        <w:shd w:val="clear" w:color="auto" w:fill="auto"/>
        <w:tblLayout w:type="fixed"/>
        <w:tblCellMar>
          <w:top w:w="0" w:type="dxa"/>
          <w:left w:w="0" w:type="dxa"/>
          <w:bottom w:w="0" w:type="dxa"/>
          <w:right w:w="0" w:type="dxa"/>
        </w:tblCellMar>
      </w:tblPr>
      <w:tblGrid>
        <w:gridCol w:w="595"/>
        <w:gridCol w:w="832"/>
        <w:gridCol w:w="924"/>
        <w:gridCol w:w="823"/>
        <w:gridCol w:w="567"/>
        <w:gridCol w:w="860"/>
        <w:gridCol w:w="1431"/>
        <w:gridCol w:w="1152"/>
        <w:gridCol w:w="1152"/>
      </w:tblGrid>
      <w:tr>
        <w:tblPrEx>
          <w:shd w:val="clear" w:color="auto" w:fill="auto"/>
          <w:tblLayout w:type="fixed"/>
          <w:tblCellMar>
            <w:top w:w="0" w:type="dxa"/>
            <w:left w:w="0" w:type="dxa"/>
            <w:bottom w:w="0" w:type="dxa"/>
            <w:right w:w="0" w:type="dxa"/>
          </w:tblCellMar>
        </w:tblPrEx>
        <w:trPr>
          <w:trHeight w:val="540" w:hRule="atLeast"/>
        </w:trPr>
        <w:tc>
          <w:tcPr>
            <w:tcW w:w="8336"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highlight w:val="none"/>
                <w:u w:val="none"/>
                <w:lang w:val="en-US" w:eastAsia="zh-CN"/>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14:textFill>
                  <w14:solidFill>
                    <w14:schemeClr w14:val="tx1"/>
                  </w14:solidFill>
                </w14:textFill>
              </w:rPr>
              <w:t xml:space="preserve">        </w:t>
            </w:r>
            <w:r>
              <w:rPr>
                <w:rFonts w:hint="eastAsia" w:asciiTheme="minorEastAsia" w:hAnsiTheme="minorEastAsia" w:eastAsiaTheme="minorEastAsia" w:cstheme="minorEastAsia"/>
                <w:b/>
                <w:bCs w:val="0"/>
                <w:i w:val="0"/>
                <w:color w:val="000000" w:themeColor="text1"/>
                <w:kern w:val="0"/>
                <w:sz w:val="24"/>
                <w:szCs w:val="24"/>
                <w:highlight w:val="none"/>
                <w:u w:val="none"/>
                <w:lang w:val="en-US" w:eastAsia="zh-CN" w:bidi="ar"/>
                <w14:textFill>
                  <w14:solidFill>
                    <w14:schemeClr w14:val="tx1"/>
                  </w14:solidFill>
                </w14:textFill>
              </w:rPr>
              <w:t>工程物探实物工作计费基价表</w:t>
            </w: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表1</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4</w:t>
            </w:r>
          </w:p>
        </w:tc>
      </w:tr>
      <w:tr>
        <w:tblPrEx>
          <w:shd w:val="clear" w:color="auto" w:fill="auto"/>
          <w:tblLayout w:type="fixed"/>
          <w:tblCellMar>
            <w:top w:w="0" w:type="dxa"/>
            <w:left w:w="0" w:type="dxa"/>
            <w:bottom w:w="0" w:type="dxa"/>
            <w:right w:w="0" w:type="dxa"/>
          </w:tblCellMar>
        </w:tblPrEx>
        <w:trPr>
          <w:trHeight w:val="360" w:hRule="atLeast"/>
        </w:trPr>
        <w:tc>
          <w:tcPr>
            <w:tcW w:w="59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序号</w:t>
            </w:r>
          </w:p>
        </w:tc>
        <w:tc>
          <w:tcPr>
            <w:tcW w:w="400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项目</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计费单位</w:t>
            </w:r>
          </w:p>
        </w:tc>
        <w:tc>
          <w:tcPr>
            <w:tcW w:w="2304"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计费基价（元）</w:t>
            </w:r>
          </w:p>
        </w:tc>
      </w:tr>
      <w:tr>
        <w:tblPrEx>
          <w:shd w:val="clear" w:color="auto" w:fill="auto"/>
          <w:tblLayout w:type="fixed"/>
          <w:tblCellMar>
            <w:top w:w="0" w:type="dxa"/>
            <w:left w:w="0" w:type="dxa"/>
            <w:bottom w:w="0" w:type="dxa"/>
            <w:right w:w="0" w:type="dxa"/>
          </w:tblCellMar>
        </w:tblPrEx>
        <w:trPr>
          <w:trHeight w:val="360" w:hRule="atLeast"/>
        </w:trPr>
        <w:tc>
          <w:tcPr>
            <w:tcW w:w="595"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浅层地震</w:t>
            </w: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反射或折射法</w:t>
            </w:r>
          </w:p>
        </w:tc>
        <w:tc>
          <w:tcPr>
            <w:tcW w:w="225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敲击</w:t>
            </w:r>
          </w:p>
        </w:tc>
        <w:tc>
          <w:tcPr>
            <w:tcW w:w="143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检波点·炮</w:t>
            </w:r>
          </w:p>
        </w:tc>
        <w:tc>
          <w:tcPr>
            <w:tcW w:w="2304"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10.8</w:t>
            </w:r>
          </w:p>
        </w:tc>
      </w:tr>
      <w:tr>
        <w:tblPrEx>
          <w:tblLayout w:type="fixed"/>
          <w:tblCellMar>
            <w:top w:w="0" w:type="dxa"/>
            <w:left w:w="0" w:type="dxa"/>
            <w:bottom w:w="0" w:type="dxa"/>
            <w:right w:w="0" w:type="dxa"/>
          </w:tblCellMar>
        </w:tblPrEx>
        <w:trPr>
          <w:trHeight w:val="360" w:hRule="atLeast"/>
        </w:trPr>
        <w:tc>
          <w:tcPr>
            <w:tcW w:w="59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爆炸</w:t>
            </w:r>
          </w:p>
        </w:tc>
        <w:tc>
          <w:tcPr>
            <w:tcW w:w="142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陆地</w:t>
            </w:r>
          </w:p>
        </w:tc>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04"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15</w:t>
            </w:r>
          </w:p>
        </w:tc>
      </w:tr>
      <w:tr>
        <w:tblPrEx>
          <w:shd w:val="clear" w:color="auto" w:fill="auto"/>
          <w:tblLayout w:type="fixed"/>
          <w:tblCellMar>
            <w:top w:w="0" w:type="dxa"/>
            <w:left w:w="0" w:type="dxa"/>
            <w:bottom w:w="0" w:type="dxa"/>
            <w:right w:w="0" w:type="dxa"/>
          </w:tblCellMar>
        </w:tblPrEx>
        <w:trPr>
          <w:trHeight w:val="360" w:hRule="atLeast"/>
        </w:trPr>
        <w:tc>
          <w:tcPr>
            <w:tcW w:w="59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水面布点</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顺流</w:t>
            </w:r>
          </w:p>
        </w:tc>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04"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27</w:t>
            </w:r>
          </w:p>
        </w:tc>
      </w:tr>
      <w:tr>
        <w:tblPrEx>
          <w:tblLayout w:type="fixed"/>
          <w:tblCellMar>
            <w:top w:w="0" w:type="dxa"/>
            <w:left w:w="0" w:type="dxa"/>
            <w:bottom w:w="0" w:type="dxa"/>
            <w:right w:w="0" w:type="dxa"/>
          </w:tblCellMar>
        </w:tblPrEx>
        <w:trPr>
          <w:trHeight w:val="360" w:hRule="atLeast"/>
        </w:trPr>
        <w:tc>
          <w:tcPr>
            <w:tcW w:w="59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横穿</w:t>
            </w:r>
          </w:p>
        </w:tc>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04"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132</w:t>
            </w:r>
          </w:p>
        </w:tc>
      </w:tr>
      <w:tr>
        <w:tblPrEx>
          <w:shd w:val="clear" w:color="auto" w:fill="auto"/>
          <w:tblLayout w:type="fixed"/>
          <w:tblCellMar>
            <w:top w:w="0" w:type="dxa"/>
            <w:left w:w="0" w:type="dxa"/>
            <w:bottom w:w="0" w:type="dxa"/>
            <w:right w:w="0" w:type="dxa"/>
          </w:tblCellMar>
        </w:tblPrEx>
        <w:trPr>
          <w:trHeight w:val="360" w:hRule="atLeast"/>
        </w:trPr>
        <w:tc>
          <w:tcPr>
            <w:tcW w:w="59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水底布点</w:t>
            </w: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顺流</w:t>
            </w:r>
          </w:p>
        </w:tc>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04"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78</w:t>
            </w:r>
          </w:p>
        </w:tc>
      </w:tr>
      <w:tr>
        <w:tblPrEx>
          <w:shd w:val="clear" w:color="auto" w:fill="auto"/>
          <w:tblLayout w:type="fixed"/>
          <w:tblCellMar>
            <w:top w:w="0" w:type="dxa"/>
            <w:left w:w="0" w:type="dxa"/>
            <w:bottom w:w="0" w:type="dxa"/>
            <w:right w:w="0" w:type="dxa"/>
          </w:tblCellMar>
        </w:tblPrEx>
        <w:trPr>
          <w:trHeight w:val="360" w:hRule="atLeast"/>
        </w:trPr>
        <w:tc>
          <w:tcPr>
            <w:tcW w:w="59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横穿</w:t>
            </w:r>
          </w:p>
        </w:tc>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04"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156</w:t>
            </w:r>
          </w:p>
        </w:tc>
      </w:tr>
      <w:tr>
        <w:tblPrEx>
          <w:tblLayout w:type="fixed"/>
          <w:tblCellMar>
            <w:top w:w="0" w:type="dxa"/>
            <w:left w:w="0" w:type="dxa"/>
            <w:bottom w:w="0" w:type="dxa"/>
            <w:right w:w="0" w:type="dxa"/>
          </w:tblCellMar>
        </w:tblPrEx>
        <w:trPr>
          <w:trHeight w:val="360" w:hRule="atLeast"/>
        </w:trPr>
        <w:tc>
          <w:tcPr>
            <w:tcW w:w="59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6909" w:type="dxa"/>
            <w:gridSpan w:val="7"/>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定位费、爆炸震远费等另计</w:t>
            </w:r>
          </w:p>
        </w:tc>
      </w:tr>
      <w:tr>
        <w:tblPrEx>
          <w:tblLayout w:type="fixed"/>
          <w:tblCellMar>
            <w:top w:w="0" w:type="dxa"/>
            <w:left w:w="0" w:type="dxa"/>
            <w:bottom w:w="0" w:type="dxa"/>
            <w:right w:w="0" w:type="dxa"/>
          </w:tblCellMar>
        </w:tblPrEx>
        <w:trPr>
          <w:trHeight w:val="360" w:hRule="atLeast"/>
        </w:trPr>
        <w:tc>
          <w:tcPr>
            <w:tcW w:w="595"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电法勘探</w:t>
            </w:r>
          </w:p>
        </w:tc>
        <w:tc>
          <w:tcPr>
            <w:tcW w:w="317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电极距L（m）</w:t>
            </w:r>
          </w:p>
        </w:tc>
        <w:tc>
          <w:tcPr>
            <w:tcW w:w="143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点</w:t>
            </w:r>
          </w:p>
        </w:tc>
        <w:tc>
          <w:tcPr>
            <w:tcW w:w="2304"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电测深</w:t>
            </w:r>
          </w:p>
        </w:tc>
      </w:tr>
      <w:tr>
        <w:tblPrEx>
          <w:tblLayout w:type="fixed"/>
          <w:tblCellMar>
            <w:top w:w="0" w:type="dxa"/>
            <w:left w:w="0" w:type="dxa"/>
            <w:bottom w:w="0" w:type="dxa"/>
            <w:right w:w="0" w:type="dxa"/>
          </w:tblCellMar>
        </w:tblPrEx>
        <w:trPr>
          <w:trHeight w:val="360" w:hRule="atLeast"/>
        </w:trPr>
        <w:tc>
          <w:tcPr>
            <w:tcW w:w="59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17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L≤100</w:t>
            </w:r>
          </w:p>
        </w:tc>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04"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156</w:t>
            </w:r>
          </w:p>
        </w:tc>
      </w:tr>
      <w:tr>
        <w:tblPrEx>
          <w:shd w:val="clear" w:color="auto" w:fill="auto"/>
          <w:tblLayout w:type="fixed"/>
          <w:tblCellMar>
            <w:top w:w="0" w:type="dxa"/>
            <w:left w:w="0" w:type="dxa"/>
            <w:bottom w:w="0" w:type="dxa"/>
            <w:right w:w="0" w:type="dxa"/>
          </w:tblCellMar>
        </w:tblPrEx>
        <w:trPr>
          <w:trHeight w:val="360" w:hRule="atLeast"/>
        </w:trPr>
        <w:tc>
          <w:tcPr>
            <w:tcW w:w="59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17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100＜L≤200</w:t>
            </w:r>
          </w:p>
        </w:tc>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04"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198</w:t>
            </w:r>
          </w:p>
        </w:tc>
      </w:tr>
      <w:tr>
        <w:tblPrEx>
          <w:tblLayout w:type="fixed"/>
          <w:tblCellMar>
            <w:top w:w="0" w:type="dxa"/>
            <w:left w:w="0" w:type="dxa"/>
            <w:bottom w:w="0" w:type="dxa"/>
            <w:right w:w="0" w:type="dxa"/>
          </w:tblCellMar>
        </w:tblPrEx>
        <w:trPr>
          <w:trHeight w:val="360" w:hRule="atLeast"/>
        </w:trPr>
        <w:tc>
          <w:tcPr>
            <w:tcW w:w="59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17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200＜L≤400</w:t>
            </w:r>
          </w:p>
        </w:tc>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04"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300</w:t>
            </w:r>
          </w:p>
        </w:tc>
      </w:tr>
      <w:tr>
        <w:tblPrEx>
          <w:tblLayout w:type="fixed"/>
          <w:tblCellMar>
            <w:top w:w="0" w:type="dxa"/>
            <w:left w:w="0" w:type="dxa"/>
            <w:bottom w:w="0" w:type="dxa"/>
            <w:right w:w="0" w:type="dxa"/>
          </w:tblCellMar>
        </w:tblPrEx>
        <w:trPr>
          <w:trHeight w:val="360" w:hRule="atLeast"/>
        </w:trPr>
        <w:tc>
          <w:tcPr>
            <w:tcW w:w="59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17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400＜L≤600</w:t>
            </w:r>
          </w:p>
        </w:tc>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04"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456</w:t>
            </w:r>
          </w:p>
        </w:tc>
      </w:tr>
      <w:tr>
        <w:tblPrEx>
          <w:shd w:val="clear" w:color="auto" w:fill="auto"/>
          <w:tblLayout w:type="fixed"/>
          <w:tblCellMar>
            <w:top w:w="0" w:type="dxa"/>
            <w:left w:w="0" w:type="dxa"/>
            <w:bottom w:w="0" w:type="dxa"/>
            <w:right w:w="0" w:type="dxa"/>
          </w:tblCellMar>
        </w:tblPrEx>
        <w:trPr>
          <w:trHeight w:val="360" w:hRule="atLeast"/>
        </w:trPr>
        <w:tc>
          <w:tcPr>
            <w:tcW w:w="59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17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600＜L≤800</w:t>
            </w:r>
          </w:p>
        </w:tc>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04"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570</w:t>
            </w:r>
          </w:p>
        </w:tc>
      </w:tr>
      <w:tr>
        <w:tblPrEx>
          <w:tblLayout w:type="fixed"/>
          <w:tblCellMar>
            <w:top w:w="0" w:type="dxa"/>
            <w:left w:w="0" w:type="dxa"/>
            <w:bottom w:w="0" w:type="dxa"/>
            <w:right w:w="0" w:type="dxa"/>
          </w:tblCellMar>
        </w:tblPrEx>
        <w:trPr>
          <w:trHeight w:val="360" w:hRule="atLeast"/>
        </w:trPr>
        <w:tc>
          <w:tcPr>
            <w:tcW w:w="59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17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L＞800</w:t>
            </w:r>
          </w:p>
        </w:tc>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04"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720</w:t>
            </w:r>
          </w:p>
        </w:tc>
      </w:tr>
      <w:tr>
        <w:tblPrEx>
          <w:tblLayout w:type="fixed"/>
          <w:tblCellMar>
            <w:top w:w="0" w:type="dxa"/>
            <w:left w:w="0" w:type="dxa"/>
            <w:bottom w:w="0" w:type="dxa"/>
            <w:right w:w="0" w:type="dxa"/>
          </w:tblCellMar>
        </w:tblPrEx>
        <w:trPr>
          <w:trHeight w:val="360" w:hRule="atLeast"/>
        </w:trPr>
        <w:tc>
          <w:tcPr>
            <w:tcW w:w="595"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地质雷达</w:t>
            </w:r>
          </w:p>
        </w:tc>
        <w:tc>
          <w:tcPr>
            <w:tcW w:w="317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工作方式</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工程勘探</w:t>
            </w:r>
          </w:p>
        </w:tc>
        <w:tc>
          <w:tcPr>
            <w:tcW w:w="115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路面质量</w:t>
            </w:r>
          </w:p>
        </w:tc>
      </w:tr>
      <w:tr>
        <w:tblPrEx>
          <w:tblLayout w:type="fixed"/>
          <w:tblCellMar>
            <w:top w:w="0" w:type="dxa"/>
            <w:left w:w="0" w:type="dxa"/>
            <w:bottom w:w="0" w:type="dxa"/>
            <w:right w:w="0" w:type="dxa"/>
          </w:tblCellMar>
        </w:tblPrEx>
        <w:trPr>
          <w:trHeight w:val="360" w:hRule="atLeast"/>
        </w:trPr>
        <w:tc>
          <w:tcPr>
            <w:tcW w:w="59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17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点测</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点</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12</w:t>
            </w:r>
          </w:p>
        </w:tc>
        <w:tc>
          <w:tcPr>
            <w:tcW w:w="115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12</w:t>
            </w:r>
          </w:p>
        </w:tc>
      </w:tr>
      <w:tr>
        <w:tblPrEx>
          <w:shd w:val="clear" w:color="auto" w:fill="auto"/>
          <w:tblLayout w:type="fixed"/>
          <w:tblCellMar>
            <w:top w:w="0" w:type="dxa"/>
            <w:left w:w="0" w:type="dxa"/>
            <w:bottom w:w="0" w:type="dxa"/>
            <w:right w:w="0" w:type="dxa"/>
          </w:tblCellMar>
        </w:tblPrEx>
        <w:trPr>
          <w:trHeight w:val="360" w:hRule="atLeast"/>
        </w:trPr>
        <w:tc>
          <w:tcPr>
            <w:tcW w:w="59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17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连续</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km</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8100</w:t>
            </w:r>
          </w:p>
        </w:tc>
        <w:tc>
          <w:tcPr>
            <w:tcW w:w="115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3780</w:t>
            </w:r>
          </w:p>
        </w:tc>
      </w:tr>
      <w:tr>
        <w:tblPrEx>
          <w:tblLayout w:type="fixed"/>
          <w:tblCellMar>
            <w:top w:w="0" w:type="dxa"/>
            <w:left w:w="0" w:type="dxa"/>
            <w:bottom w:w="0" w:type="dxa"/>
            <w:right w:w="0" w:type="dxa"/>
          </w:tblCellMar>
        </w:tblPrEx>
        <w:trPr>
          <w:trHeight w:val="360" w:hRule="atLeast"/>
        </w:trPr>
        <w:tc>
          <w:tcPr>
            <w:tcW w:w="59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6909" w:type="dxa"/>
            <w:gridSpan w:val="7"/>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探测深度＞10m，附加调整系数为1.3；不足4个组日按4个组日计</w:t>
            </w:r>
          </w:p>
        </w:tc>
      </w:tr>
      <w:tr>
        <w:tblPrEx>
          <w:shd w:val="clear" w:color="auto" w:fill="auto"/>
          <w:tblLayout w:type="fixed"/>
          <w:tblCellMar>
            <w:top w:w="0" w:type="dxa"/>
            <w:left w:w="0" w:type="dxa"/>
            <w:bottom w:w="0" w:type="dxa"/>
            <w:right w:w="0" w:type="dxa"/>
          </w:tblCellMar>
        </w:tblPrEx>
        <w:trPr>
          <w:trHeight w:val="360" w:hRule="atLeast"/>
        </w:trPr>
        <w:tc>
          <w:tcPr>
            <w:tcW w:w="595"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测井</w:t>
            </w:r>
          </w:p>
        </w:tc>
        <w:tc>
          <w:tcPr>
            <w:tcW w:w="317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电测井</w:t>
            </w:r>
          </w:p>
        </w:tc>
        <w:tc>
          <w:tcPr>
            <w:tcW w:w="143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m</w:t>
            </w:r>
          </w:p>
        </w:tc>
        <w:tc>
          <w:tcPr>
            <w:tcW w:w="2304"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13.8</w:t>
            </w:r>
          </w:p>
        </w:tc>
      </w:tr>
      <w:tr>
        <w:tblPrEx>
          <w:tblLayout w:type="fixed"/>
          <w:tblCellMar>
            <w:top w:w="0" w:type="dxa"/>
            <w:left w:w="0" w:type="dxa"/>
            <w:bottom w:w="0" w:type="dxa"/>
            <w:right w:w="0" w:type="dxa"/>
          </w:tblCellMar>
        </w:tblPrEx>
        <w:trPr>
          <w:trHeight w:val="360" w:hRule="atLeast"/>
        </w:trPr>
        <w:tc>
          <w:tcPr>
            <w:tcW w:w="59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17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水文测井</w:t>
            </w:r>
          </w:p>
        </w:tc>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04"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16.2</w:t>
            </w:r>
          </w:p>
        </w:tc>
      </w:tr>
      <w:tr>
        <w:tblPrEx>
          <w:tblLayout w:type="fixed"/>
          <w:tblCellMar>
            <w:top w:w="0" w:type="dxa"/>
            <w:left w:w="0" w:type="dxa"/>
            <w:bottom w:w="0" w:type="dxa"/>
            <w:right w:w="0" w:type="dxa"/>
          </w:tblCellMar>
        </w:tblPrEx>
        <w:trPr>
          <w:trHeight w:val="360" w:hRule="atLeast"/>
        </w:trPr>
        <w:tc>
          <w:tcPr>
            <w:tcW w:w="59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17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孔内电视</w:t>
            </w:r>
          </w:p>
        </w:tc>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04"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27</w:t>
            </w:r>
          </w:p>
        </w:tc>
      </w:tr>
      <w:tr>
        <w:tblPrEx>
          <w:shd w:val="clear" w:color="auto" w:fill="auto"/>
          <w:tblLayout w:type="fixed"/>
          <w:tblCellMar>
            <w:top w:w="0" w:type="dxa"/>
            <w:left w:w="0" w:type="dxa"/>
            <w:bottom w:w="0" w:type="dxa"/>
            <w:right w:w="0" w:type="dxa"/>
          </w:tblCellMar>
        </w:tblPrEx>
        <w:trPr>
          <w:trHeight w:val="440" w:hRule="atLeast"/>
        </w:trPr>
        <w:tc>
          <w:tcPr>
            <w:tcW w:w="59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井温、井径测量</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深度D（m）</w:t>
            </w:r>
          </w:p>
        </w:tc>
        <w:tc>
          <w:tcPr>
            <w:tcW w:w="142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D≤100m</w:t>
            </w:r>
          </w:p>
        </w:tc>
        <w:tc>
          <w:tcPr>
            <w:tcW w:w="143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点</w:t>
            </w:r>
          </w:p>
        </w:tc>
        <w:tc>
          <w:tcPr>
            <w:tcW w:w="2304"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8.4</w:t>
            </w:r>
          </w:p>
        </w:tc>
      </w:tr>
      <w:tr>
        <w:tblPrEx>
          <w:tblLayout w:type="fixed"/>
          <w:tblCellMar>
            <w:top w:w="0" w:type="dxa"/>
            <w:left w:w="0" w:type="dxa"/>
            <w:bottom w:w="0" w:type="dxa"/>
            <w:right w:w="0" w:type="dxa"/>
          </w:tblCellMar>
        </w:tblPrEx>
        <w:trPr>
          <w:trHeight w:val="440" w:hRule="atLeast"/>
        </w:trPr>
        <w:tc>
          <w:tcPr>
            <w:tcW w:w="59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42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100＜D≤300</w:t>
            </w:r>
          </w:p>
        </w:tc>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304"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16.2</w:t>
            </w:r>
          </w:p>
        </w:tc>
      </w:tr>
      <w:tr>
        <w:tblPrEx>
          <w:shd w:val="clear" w:color="auto" w:fill="auto"/>
          <w:tblLayout w:type="fixed"/>
          <w:tblCellMar>
            <w:top w:w="0" w:type="dxa"/>
            <w:left w:w="0" w:type="dxa"/>
            <w:bottom w:w="0" w:type="dxa"/>
            <w:right w:w="0" w:type="dxa"/>
          </w:tblCellMar>
        </w:tblPrEx>
        <w:trPr>
          <w:trHeight w:val="360" w:hRule="atLeast"/>
        </w:trPr>
        <w:tc>
          <w:tcPr>
            <w:tcW w:w="595"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钻孔波速测试</w:t>
            </w:r>
          </w:p>
        </w:tc>
        <w:tc>
          <w:tcPr>
            <w:tcW w:w="317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深度D（m）</w:t>
            </w:r>
          </w:p>
        </w:tc>
        <w:tc>
          <w:tcPr>
            <w:tcW w:w="1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单孔法</w:t>
            </w:r>
          </w:p>
        </w:tc>
        <w:tc>
          <w:tcPr>
            <w:tcW w:w="115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跨孔法</w:t>
            </w:r>
          </w:p>
        </w:tc>
      </w:tr>
      <w:tr>
        <w:tblPrEx>
          <w:tblLayout w:type="fixed"/>
          <w:tblCellMar>
            <w:top w:w="0" w:type="dxa"/>
            <w:left w:w="0" w:type="dxa"/>
            <w:bottom w:w="0" w:type="dxa"/>
            <w:right w:w="0" w:type="dxa"/>
          </w:tblCellMar>
        </w:tblPrEx>
        <w:trPr>
          <w:trHeight w:val="360" w:hRule="atLeast"/>
        </w:trPr>
        <w:tc>
          <w:tcPr>
            <w:tcW w:w="59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17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D≤15m</w:t>
            </w:r>
          </w:p>
        </w:tc>
        <w:tc>
          <w:tcPr>
            <w:tcW w:w="143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点</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81</w:t>
            </w:r>
          </w:p>
        </w:tc>
        <w:tc>
          <w:tcPr>
            <w:tcW w:w="115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113.4</w:t>
            </w:r>
          </w:p>
        </w:tc>
      </w:tr>
      <w:tr>
        <w:tblPrEx>
          <w:shd w:val="clear" w:color="auto" w:fill="auto"/>
          <w:tblLayout w:type="fixed"/>
          <w:tblCellMar>
            <w:top w:w="0" w:type="dxa"/>
            <w:left w:w="0" w:type="dxa"/>
            <w:bottom w:w="0" w:type="dxa"/>
            <w:right w:w="0" w:type="dxa"/>
          </w:tblCellMar>
        </w:tblPrEx>
        <w:trPr>
          <w:trHeight w:val="360" w:hRule="atLeast"/>
        </w:trPr>
        <w:tc>
          <w:tcPr>
            <w:tcW w:w="59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17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15＜D≤30</w:t>
            </w:r>
          </w:p>
        </w:tc>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97.2</w:t>
            </w:r>
          </w:p>
        </w:tc>
        <w:tc>
          <w:tcPr>
            <w:tcW w:w="115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145.8</w:t>
            </w:r>
          </w:p>
        </w:tc>
      </w:tr>
      <w:tr>
        <w:tblPrEx>
          <w:tblLayout w:type="fixed"/>
          <w:tblCellMar>
            <w:top w:w="0" w:type="dxa"/>
            <w:left w:w="0" w:type="dxa"/>
            <w:bottom w:w="0" w:type="dxa"/>
            <w:right w:w="0" w:type="dxa"/>
          </w:tblCellMar>
        </w:tblPrEx>
        <w:trPr>
          <w:trHeight w:val="360" w:hRule="atLeast"/>
        </w:trPr>
        <w:tc>
          <w:tcPr>
            <w:tcW w:w="59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17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30＜D≤50</w:t>
            </w:r>
          </w:p>
        </w:tc>
        <w:tc>
          <w:tcPr>
            <w:tcW w:w="143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129.6</w:t>
            </w:r>
          </w:p>
        </w:tc>
        <w:tc>
          <w:tcPr>
            <w:tcW w:w="115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178.2</w:t>
            </w:r>
          </w:p>
        </w:tc>
      </w:tr>
      <w:tr>
        <w:tblPrEx>
          <w:tblLayout w:type="fixed"/>
          <w:tblCellMar>
            <w:top w:w="0" w:type="dxa"/>
            <w:left w:w="0" w:type="dxa"/>
            <w:bottom w:w="0" w:type="dxa"/>
            <w:right w:w="0" w:type="dxa"/>
          </w:tblCellMar>
        </w:tblPrEx>
        <w:trPr>
          <w:trHeight w:val="660" w:hRule="atLeast"/>
        </w:trPr>
        <w:tc>
          <w:tcPr>
            <w:tcW w:w="59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6909" w:type="dxa"/>
            <w:gridSpan w:val="7"/>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测试深度＞50m，每增加20m，按前一档计费基价乘以1.3的附加调整系数；不足2个组日按2个组日计</w:t>
            </w:r>
          </w:p>
        </w:tc>
      </w:tr>
    </w:tbl>
    <w:p>
      <w:pPr>
        <w:ind w:firstLine="560" w:firstLineChars="20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sectPr>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p>
    <w:tbl>
      <w:tblPr>
        <w:tblStyle w:val="11"/>
        <w:tblW w:w="14430" w:type="dxa"/>
        <w:tblInd w:w="0" w:type="dxa"/>
        <w:shd w:val="clear" w:color="auto" w:fill="auto"/>
        <w:tblLayout w:type="fixed"/>
        <w:tblCellMar>
          <w:top w:w="0" w:type="dxa"/>
          <w:left w:w="0" w:type="dxa"/>
          <w:bottom w:w="0" w:type="dxa"/>
          <w:right w:w="0" w:type="dxa"/>
        </w:tblCellMar>
      </w:tblPr>
      <w:tblGrid>
        <w:gridCol w:w="470"/>
        <w:gridCol w:w="2429"/>
        <w:gridCol w:w="2230"/>
        <w:gridCol w:w="910"/>
        <w:gridCol w:w="1350"/>
        <w:gridCol w:w="7041"/>
      </w:tblGrid>
      <w:tr>
        <w:tblPrEx>
          <w:tblLayout w:type="fixed"/>
          <w:tblCellMar>
            <w:top w:w="0" w:type="dxa"/>
            <w:left w:w="0" w:type="dxa"/>
            <w:bottom w:w="0" w:type="dxa"/>
            <w:right w:w="0" w:type="dxa"/>
          </w:tblCellMar>
        </w:tblPrEx>
        <w:trPr>
          <w:trHeight w:val="540" w:hRule="atLeast"/>
        </w:trPr>
        <w:tc>
          <w:tcPr>
            <w:tcW w:w="14430"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highlight w:val="none"/>
                <w:u w:val="none"/>
                <w:lang w:eastAsia="zh-CN"/>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14:textFill>
                  <w14:solidFill>
                    <w14:schemeClr w14:val="tx1"/>
                  </w14:solidFill>
                </w14:textFill>
              </w:rPr>
              <w:t xml:space="preserve">土工试验实物工作计费基价表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表1</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5</w:t>
            </w: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序号</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试验项目</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计费单位</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计费基价(元)</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备注</w:t>
            </w:r>
          </w:p>
        </w:tc>
      </w:tr>
      <w:tr>
        <w:tblPrEx>
          <w:shd w:val="clear" w:color="auto" w:fill="auto"/>
          <w:tblLayout w:type="fixed"/>
          <w:tblCellMar>
            <w:top w:w="0" w:type="dxa"/>
            <w:left w:w="0" w:type="dxa"/>
            <w:bottom w:w="0" w:type="dxa"/>
            <w:right w:w="0" w:type="dxa"/>
          </w:tblCellMar>
        </w:tblPrEx>
        <w:trPr>
          <w:trHeight w:val="360" w:hRule="atLeast"/>
        </w:trPr>
        <w:tc>
          <w:tcPr>
            <w:tcW w:w="4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含水率</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项</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4.8</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w:t>
            </w:r>
          </w:p>
        </w:tc>
        <w:tc>
          <w:tcPr>
            <w:tcW w:w="24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密度</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环刀法</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4.8</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蜜蜡法</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10.8</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比重</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11.4</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w:t>
            </w:r>
          </w:p>
        </w:tc>
        <w:tc>
          <w:tcPr>
            <w:tcW w:w="24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颗粒分析</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筛析法（砂、砾）</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15.6</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筛析法（含粘性土）</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24</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筛析法（碎石类土）</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42</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现场试验</w:t>
            </w:r>
          </w:p>
        </w:tc>
      </w:tr>
      <w:tr>
        <w:tblPrEx>
          <w:tblLayout w:type="fixed"/>
          <w:tblCellMar>
            <w:top w:w="0" w:type="dxa"/>
            <w:left w:w="0" w:type="dxa"/>
            <w:bottom w:w="0" w:type="dxa"/>
            <w:right w:w="0" w:type="dxa"/>
          </w:tblCellMar>
        </w:tblPrEx>
        <w:trPr>
          <w:trHeight w:val="360" w:hRule="atLeast"/>
        </w:trPr>
        <w:tc>
          <w:tcPr>
            <w:tcW w:w="47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密度计法</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29.4</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粘性土分析粒径＜0.002mm的，增加12元</w:t>
            </w:r>
          </w:p>
        </w:tc>
      </w:tr>
      <w:tr>
        <w:tblPrEx>
          <w:shd w:val="clear" w:color="auto" w:fill="auto"/>
          <w:tblLayout w:type="fixed"/>
          <w:tblCellMar>
            <w:top w:w="0" w:type="dxa"/>
            <w:left w:w="0" w:type="dxa"/>
            <w:bottom w:w="0" w:type="dxa"/>
            <w:right w:w="0" w:type="dxa"/>
          </w:tblCellMar>
        </w:tblPrEx>
        <w:trPr>
          <w:trHeight w:val="360" w:hRule="atLeast"/>
        </w:trPr>
        <w:tc>
          <w:tcPr>
            <w:tcW w:w="47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移液管法</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28.2</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w:t>
            </w:r>
          </w:p>
        </w:tc>
        <w:tc>
          <w:tcPr>
            <w:tcW w:w="24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液限</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碟式仪法</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13.8</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圆锥仪法</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9</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6</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塑限</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18</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7</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湿化</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13.8</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8</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毛细水上升高度</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8.4</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9</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砂的相对密度</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31.2</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10</w:t>
            </w:r>
          </w:p>
        </w:tc>
        <w:tc>
          <w:tcPr>
            <w:tcW w:w="24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击实</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轻型击实法</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191.4</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重型击实法</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382.8</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70" w:hRule="atLeast"/>
        </w:trPr>
        <w:tc>
          <w:tcPr>
            <w:tcW w:w="470"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11</w:t>
            </w:r>
          </w:p>
        </w:tc>
        <w:tc>
          <w:tcPr>
            <w:tcW w:w="46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渗透</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33</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粘土类、粉土类</w:t>
            </w:r>
          </w:p>
        </w:tc>
      </w:tr>
      <w:tr>
        <w:tblPrEx>
          <w:tblLayout w:type="fixed"/>
          <w:tblCellMar>
            <w:top w:w="0" w:type="dxa"/>
            <w:left w:w="0" w:type="dxa"/>
            <w:bottom w:w="0" w:type="dxa"/>
            <w:right w:w="0" w:type="dxa"/>
          </w:tblCellMar>
        </w:tblPrEx>
        <w:trPr>
          <w:trHeight w:val="270" w:hRule="atLeast"/>
        </w:trPr>
        <w:tc>
          <w:tcPr>
            <w:tcW w:w="47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6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17.4</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砂土类</w:t>
            </w:r>
          </w:p>
        </w:tc>
      </w:tr>
      <w:tr>
        <w:tblPrEx>
          <w:shd w:val="clear" w:color="auto" w:fill="auto"/>
          <w:tblLayout w:type="fixed"/>
          <w:tblCellMar>
            <w:top w:w="0" w:type="dxa"/>
            <w:left w:w="0" w:type="dxa"/>
            <w:bottom w:w="0" w:type="dxa"/>
            <w:right w:w="0" w:type="dxa"/>
          </w:tblCellMar>
        </w:tblPrEx>
        <w:trPr>
          <w:trHeight w:val="360" w:hRule="atLeast"/>
        </w:trPr>
        <w:tc>
          <w:tcPr>
            <w:tcW w:w="470"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12</w:t>
            </w:r>
          </w:p>
        </w:tc>
        <w:tc>
          <w:tcPr>
            <w:tcW w:w="24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标准固结</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快速法</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158.4</w:t>
            </w:r>
          </w:p>
        </w:tc>
        <w:tc>
          <w:tcPr>
            <w:tcW w:w="7041"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测回弹指数附加调整系数为1.3</w:t>
            </w:r>
          </w:p>
        </w:tc>
      </w:tr>
      <w:tr>
        <w:tblPrEx>
          <w:shd w:val="clear" w:color="auto" w:fill="auto"/>
          <w:tblLayout w:type="fixed"/>
          <w:tblCellMar>
            <w:top w:w="0" w:type="dxa"/>
            <w:left w:w="0" w:type="dxa"/>
            <w:bottom w:w="0" w:type="dxa"/>
            <w:right w:w="0" w:type="dxa"/>
          </w:tblCellMar>
        </w:tblPrEx>
        <w:trPr>
          <w:trHeight w:val="360" w:hRule="atLeast"/>
        </w:trPr>
        <w:tc>
          <w:tcPr>
            <w:tcW w:w="47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慢速法</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298.2</w:t>
            </w:r>
          </w:p>
        </w:tc>
        <w:tc>
          <w:tcPr>
            <w:tcW w:w="7041"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13</w:t>
            </w:r>
          </w:p>
        </w:tc>
        <w:tc>
          <w:tcPr>
            <w:tcW w:w="24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压缩</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快速法</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24</w:t>
            </w:r>
          </w:p>
        </w:tc>
        <w:tc>
          <w:tcPr>
            <w:tcW w:w="7041"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以四级荷重为基数，每增加一级荷重，快速法增加12元，慢速法增加15元</w:t>
            </w:r>
          </w:p>
        </w:tc>
      </w:tr>
      <w:tr>
        <w:tblPrEx>
          <w:tblLayout w:type="fixed"/>
          <w:tblCellMar>
            <w:top w:w="0" w:type="dxa"/>
            <w:left w:w="0" w:type="dxa"/>
            <w:bottom w:w="0" w:type="dxa"/>
            <w:right w:w="0" w:type="dxa"/>
          </w:tblCellMar>
        </w:tblPrEx>
        <w:trPr>
          <w:trHeight w:val="360" w:hRule="atLeast"/>
        </w:trPr>
        <w:tc>
          <w:tcPr>
            <w:tcW w:w="47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慢速法</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69.6</w:t>
            </w:r>
          </w:p>
        </w:tc>
        <w:tc>
          <w:tcPr>
            <w:tcW w:w="7041"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14</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黄土湿陷系数</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31.8</w:t>
            </w:r>
          </w:p>
        </w:tc>
        <w:tc>
          <w:tcPr>
            <w:tcW w:w="7041"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15</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黄土自重湿陷系数</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13.8</w:t>
            </w:r>
          </w:p>
        </w:tc>
        <w:tc>
          <w:tcPr>
            <w:tcW w:w="7041"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16</w:t>
            </w:r>
          </w:p>
        </w:tc>
        <w:tc>
          <w:tcPr>
            <w:tcW w:w="24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黄土自重起始压力</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单线法</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82.2</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5个环刀试样</w:t>
            </w:r>
          </w:p>
        </w:tc>
      </w:tr>
      <w:tr>
        <w:tblPrEx>
          <w:shd w:val="clear" w:color="auto" w:fill="auto"/>
          <w:tblLayout w:type="fixed"/>
          <w:tblCellMar>
            <w:top w:w="0" w:type="dxa"/>
            <w:left w:w="0" w:type="dxa"/>
            <w:bottom w:w="0" w:type="dxa"/>
            <w:right w:w="0" w:type="dxa"/>
          </w:tblCellMar>
        </w:tblPrEx>
        <w:trPr>
          <w:trHeight w:val="360" w:hRule="atLeast"/>
        </w:trPr>
        <w:tc>
          <w:tcPr>
            <w:tcW w:w="47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双线法</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33.6</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2个环刀试样</w:t>
            </w:r>
          </w:p>
        </w:tc>
      </w:tr>
      <w:tr>
        <w:tblPrEx>
          <w:tblLayout w:type="fixed"/>
          <w:tblCellMar>
            <w:top w:w="0" w:type="dxa"/>
            <w:left w:w="0" w:type="dxa"/>
            <w:bottom w:w="0" w:type="dxa"/>
            <w:right w:w="0" w:type="dxa"/>
          </w:tblCellMar>
        </w:tblPrEx>
        <w:trPr>
          <w:trHeight w:val="360" w:hRule="atLeast"/>
        </w:trPr>
        <w:tc>
          <w:tcPr>
            <w:tcW w:w="470"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17</w:t>
            </w:r>
          </w:p>
        </w:tc>
        <w:tc>
          <w:tcPr>
            <w:tcW w:w="2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三轴压缩（低压≤600kPa59）</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不固结不排水</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组</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247.8</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固结不排水</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465</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固结不排水测孔压</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558</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固结排水</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744</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18</w:t>
            </w:r>
          </w:p>
        </w:tc>
        <w:tc>
          <w:tcPr>
            <w:tcW w:w="24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无侧限抗压强度</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应变法</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项</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17.4</w:t>
            </w:r>
          </w:p>
        </w:tc>
        <w:tc>
          <w:tcPr>
            <w:tcW w:w="7041"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重塑土试验增加制备费17元</w:t>
            </w:r>
          </w:p>
        </w:tc>
      </w:tr>
      <w:tr>
        <w:tblPrEx>
          <w:shd w:val="clear" w:color="auto" w:fill="auto"/>
          <w:tblLayout w:type="fixed"/>
          <w:tblCellMar>
            <w:top w:w="0" w:type="dxa"/>
            <w:left w:w="0" w:type="dxa"/>
            <w:bottom w:w="0" w:type="dxa"/>
            <w:right w:w="0" w:type="dxa"/>
          </w:tblCellMar>
        </w:tblPrEx>
        <w:trPr>
          <w:trHeight w:val="360" w:hRule="atLeast"/>
        </w:trPr>
        <w:tc>
          <w:tcPr>
            <w:tcW w:w="47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测灵敏度</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33.6</w:t>
            </w:r>
          </w:p>
        </w:tc>
        <w:tc>
          <w:tcPr>
            <w:tcW w:w="7041"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19</w:t>
            </w:r>
          </w:p>
        </w:tc>
        <w:tc>
          <w:tcPr>
            <w:tcW w:w="24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直接剪切</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快剪</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组</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29.4</w:t>
            </w:r>
          </w:p>
        </w:tc>
        <w:tc>
          <w:tcPr>
            <w:tcW w:w="7041"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重塑土试验增加制备费每组30元</w:t>
            </w:r>
          </w:p>
        </w:tc>
      </w:tr>
      <w:tr>
        <w:tblPrEx>
          <w:shd w:val="clear" w:color="auto" w:fill="auto"/>
          <w:tblLayout w:type="fixed"/>
          <w:tblCellMar>
            <w:top w:w="0" w:type="dxa"/>
            <w:left w:w="0" w:type="dxa"/>
            <w:bottom w:w="0" w:type="dxa"/>
            <w:right w:w="0" w:type="dxa"/>
          </w:tblCellMar>
        </w:tblPrEx>
        <w:trPr>
          <w:trHeight w:val="360" w:hRule="atLeast"/>
        </w:trPr>
        <w:tc>
          <w:tcPr>
            <w:tcW w:w="47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固结快剪</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42.6</w:t>
            </w:r>
          </w:p>
        </w:tc>
        <w:tc>
          <w:tcPr>
            <w:tcW w:w="7041"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固结慢剪</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59.4</w:t>
            </w:r>
          </w:p>
        </w:tc>
        <w:tc>
          <w:tcPr>
            <w:tcW w:w="7041"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20</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反复直剪强度</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79.8</w:t>
            </w:r>
          </w:p>
        </w:tc>
        <w:tc>
          <w:tcPr>
            <w:tcW w:w="7041"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lang w:val="en-US" w:eastAsia="zh-CN"/>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21</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自由膨胀率</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项</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8.4</w:t>
            </w:r>
          </w:p>
        </w:tc>
        <w:tc>
          <w:tcPr>
            <w:tcW w:w="7041"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22</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膨胀率</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16.2</w:t>
            </w:r>
          </w:p>
        </w:tc>
        <w:tc>
          <w:tcPr>
            <w:tcW w:w="7041"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23</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膨胀力</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21.6</w:t>
            </w:r>
          </w:p>
        </w:tc>
        <w:tc>
          <w:tcPr>
            <w:tcW w:w="7041"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24</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收缩</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线缩、体缩</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33.6</w:t>
            </w:r>
          </w:p>
        </w:tc>
        <w:tc>
          <w:tcPr>
            <w:tcW w:w="7041"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25</w:t>
            </w:r>
          </w:p>
        </w:tc>
        <w:tc>
          <w:tcPr>
            <w:tcW w:w="46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静止侧压力系数</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154.8</w:t>
            </w:r>
          </w:p>
        </w:tc>
        <w:tc>
          <w:tcPr>
            <w:tcW w:w="7041"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26</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有机质</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铬酸钾容量法</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18</w:t>
            </w:r>
          </w:p>
        </w:tc>
        <w:tc>
          <w:tcPr>
            <w:tcW w:w="7041"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27</w:t>
            </w:r>
          </w:p>
        </w:tc>
        <w:tc>
          <w:tcPr>
            <w:tcW w:w="2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振动三轴（低压≤600kPa）</w:t>
            </w: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动强度(包括液化)(一)</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组</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2604.6</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一种固结比</w:t>
            </w:r>
          </w:p>
        </w:tc>
      </w:tr>
      <w:tr>
        <w:tblPrEx>
          <w:shd w:val="clear" w:color="auto" w:fill="auto"/>
          <w:tblLayout w:type="fixed"/>
          <w:tblCellMar>
            <w:top w:w="0" w:type="dxa"/>
            <w:left w:w="0" w:type="dxa"/>
            <w:bottom w:w="0" w:type="dxa"/>
            <w:right w:w="0" w:type="dxa"/>
          </w:tblCellMar>
        </w:tblPrEx>
        <w:trPr>
          <w:trHeight w:val="360" w:hRule="atLeast"/>
        </w:trPr>
        <w:tc>
          <w:tcPr>
            <w:tcW w:w="47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动强度(包括液化)(二)</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5457.6</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三种固结比</w:t>
            </w:r>
          </w:p>
        </w:tc>
      </w:tr>
      <w:tr>
        <w:tblPrEx>
          <w:shd w:val="clear" w:color="auto" w:fill="auto"/>
          <w:tblLayout w:type="fixed"/>
          <w:tblCellMar>
            <w:top w:w="0" w:type="dxa"/>
            <w:left w:w="0" w:type="dxa"/>
            <w:bottom w:w="0" w:type="dxa"/>
            <w:right w:w="0" w:type="dxa"/>
          </w:tblCellMar>
        </w:tblPrEx>
        <w:trPr>
          <w:trHeight w:val="360" w:hRule="atLeast"/>
        </w:trPr>
        <w:tc>
          <w:tcPr>
            <w:tcW w:w="47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动模量阻尼比(一)</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868.2</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一种固结比，一个重度</w:t>
            </w:r>
          </w:p>
        </w:tc>
      </w:tr>
      <w:tr>
        <w:tblPrEx>
          <w:tblLayout w:type="fixed"/>
          <w:tblCellMar>
            <w:top w:w="0" w:type="dxa"/>
            <w:left w:w="0" w:type="dxa"/>
            <w:bottom w:w="0" w:type="dxa"/>
            <w:right w:w="0" w:type="dxa"/>
          </w:tblCellMar>
        </w:tblPrEx>
        <w:trPr>
          <w:trHeight w:val="360" w:hRule="atLeast"/>
        </w:trPr>
        <w:tc>
          <w:tcPr>
            <w:tcW w:w="470"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2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动模量阻尼比(二)</w:t>
            </w: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2108.4</w:t>
            </w:r>
          </w:p>
        </w:tc>
        <w:tc>
          <w:tcPr>
            <w:tcW w:w="704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三种固结比</w:t>
            </w:r>
          </w:p>
        </w:tc>
      </w:tr>
    </w:tbl>
    <w:p>
      <w:pPr>
        <w:ind w:firstLine="560" w:firstLineChars="20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sectPr>
          <w:pgSz w:w="16838" w:h="11906" w:orient="landscape"/>
          <w:pgMar w:top="1800" w:right="1440" w:bottom="1800" w:left="144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pPr>
    </w:p>
    <w:p>
      <w:pPr>
        <w:ind w:firstLine="560" w:firstLineChars="20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p>
    <w:tbl>
      <w:tblPr>
        <w:tblStyle w:val="11"/>
        <w:tblW w:w="8925" w:type="dxa"/>
        <w:tblInd w:w="0" w:type="dxa"/>
        <w:shd w:val="clear" w:color="auto" w:fill="auto"/>
        <w:tblLayout w:type="fixed"/>
        <w:tblCellMar>
          <w:top w:w="0" w:type="dxa"/>
          <w:left w:w="0" w:type="dxa"/>
          <w:bottom w:w="0" w:type="dxa"/>
          <w:right w:w="0" w:type="dxa"/>
        </w:tblCellMar>
      </w:tblPr>
      <w:tblGrid>
        <w:gridCol w:w="470"/>
        <w:gridCol w:w="2683"/>
        <w:gridCol w:w="1213"/>
        <w:gridCol w:w="4559"/>
      </w:tblGrid>
      <w:tr>
        <w:tblPrEx>
          <w:shd w:val="clear" w:color="auto" w:fill="auto"/>
          <w:tblLayout w:type="fixed"/>
          <w:tblCellMar>
            <w:top w:w="0" w:type="dxa"/>
            <w:left w:w="0" w:type="dxa"/>
            <w:bottom w:w="0" w:type="dxa"/>
            <w:right w:w="0" w:type="dxa"/>
          </w:tblCellMar>
        </w:tblPrEx>
        <w:trPr>
          <w:trHeight w:val="540" w:hRule="atLeast"/>
        </w:trPr>
        <w:tc>
          <w:tcPr>
            <w:tcW w:w="8925"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highlight w:val="none"/>
                <w:u w:val="none"/>
                <w:lang w:eastAsia="zh-CN"/>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14:textFill>
                  <w14:solidFill>
                    <w14:schemeClr w14:val="tx1"/>
                  </w14:solidFill>
                </w14:textFill>
              </w:rPr>
              <w:t xml:space="preserve">        水质分析实物工作计费基价表   </w:t>
            </w:r>
            <w:r>
              <w:rPr>
                <w:rFonts w:hint="eastAsia" w:asciiTheme="minorEastAsia" w:hAnsiTheme="minorEastAsia" w:cstheme="minorEastAsia"/>
                <w:b/>
                <w:i w:val="0"/>
                <w:color w:val="000000" w:themeColor="text1"/>
                <w:kern w:val="0"/>
                <w:sz w:val="24"/>
                <w:szCs w:val="24"/>
                <w:highlight w:val="none"/>
                <w:u w:val="none"/>
                <w:lang w:val="en-US" w:eastAsia="zh-CN" w:bidi="ar"/>
                <w14:textFill>
                  <w14:solidFill>
                    <w14:schemeClr w14:val="tx1"/>
                  </w14:solidFill>
                </w14:textFill>
              </w:rPr>
              <w:t xml:space="preserve">    </w:t>
            </w: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表1</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6</w:t>
            </w:r>
          </w:p>
        </w:tc>
      </w:tr>
      <w:tr>
        <w:tblPrEx>
          <w:shd w:val="clear" w:color="auto" w:fill="auto"/>
          <w:tblLayout w:type="fixed"/>
          <w:tblCellMar>
            <w:top w:w="0" w:type="dxa"/>
            <w:left w:w="0" w:type="dxa"/>
            <w:bottom w:w="0" w:type="dxa"/>
            <w:right w:w="0" w:type="dxa"/>
          </w:tblCellMar>
        </w:tblPrEx>
        <w:trPr>
          <w:trHeight w:val="360" w:hRule="atLeast"/>
        </w:trPr>
        <w:tc>
          <w:tcPr>
            <w:tcW w:w="4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序号</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试验项目</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计费单位</w:t>
            </w:r>
          </w:p>
        </w:tc>
        <w:tc>
          <w:tcPr>
            <w:tcW w:w="455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计费基价（元）</w:t>
            </w:r>
          </w:p>
        </w:tc>
      </w:tr>
      <w:tr>
        <w:tblPrEx>
          <w:shd w:val="clear" w:color="auto" w:fill="auto"/>
          <w:tblLayout w:type="fixed"/>
          <w:tblCellMar>
            <w:top w:w="0" w:type="dxa"/>
            <w:left w:w="0" w:type="dxa"/>
            <w:bottom w:w="0" w:type="dxa"/>
            <w:right w:w="0" w:type="dxa"/>
          </w:tblCellMar>
        </w:tblPrEx>
        <w:trPr>
          <w:trHeight w:val="360" w:hRule="atLeast"/>
        </w:trPr>
        <w:tc>
          <w:tcPr>
            <w:tcW w:w="4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水质简分析</w:t>
            </w:r>
          </w:p>
        </w:tc>
        <w:tc>
          <w:tcPr>
            <w:tcW w:w="121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件</w:t>
            </w:r>
          </w:p>
        </w:tc>
        <w:tc>
          <w:tcPr>
            <w:tcW w:w="455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132</w:t>
            </w:r>
          </w:p>
        </w:tc>
      </w:tr>
      <w:tr>
        <w:tblPrEx>
          <w:shd w:val="clear" w:color="auto" w:fill="auto"/>
          <w:tblLayout w:type="fixed"/>
          <w:tblCellMar>
            <w:top w:w="0" w:type="dxa"/>
            <w:left w:w="0" w:type="dxa"/>
            <w:bottom w:w="0" w:type="dxa"/>
            <w:right w:w="0" w:type="dxa"/>
          </w:tblCellMar>
        </w:tblPrEx>
        <w:trPr>
          <w:trHeight w:val="360" w:hRule="atLeast"/>
        </w:trPr>
        <w:tc>
          <w:tcPr>
            <w:tcW w:w="47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w:t>
            </w:r>
          </w:p>
        </w:tc>
        <w:tc>
          <w:tcPr>
            <w:tcW w:w="26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水质全分析</w:t>
            </w:r>
          </w:p>
        </w:tc>
        <w:tc>
          <w:tcPr>
            <w:tcW w:w="121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455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228</w:t>
            </w:r>
          </w:p>
        </w:tc>
      </w:tr>
    </w:tbl>
    <w:p>
      <w:pPr>
        <w:ind w:firstLine="560" w:firstLineChars="20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p>
    <w:tbl>
      <w:tblPr>
        <w:tblStyle w:val="11"/>
        <w:tblW w:w="8336" w:type="dxa"/>
        <w:tblInd w:w="0" w:type="dxa"/>
        <w:shd w:val="clear" w:color="auto" w:fill="auto"/>
        <w:tblLayout w:type="fixed"/>
        <w:tblCellMar>
          <w:top w:w="0" w:type="dxa"/>
          <w:left w:w="0" w:type="dxa"/>
          <w:bottom w:w="0" w:type="dxa"/>
          <w:right w:w="0" w:type="dxa"/>
        </w:tblCellMar>
      </w:tblPr>
      <w:tblGrid>
        <w:gridCol w:w="566"/>
        <w:gridCol w:w="3218"/>
        <w:gridCol w:w="1562"/>
        <w:gridCol w:w="1097"/>
        <w:gridCol w:w="1893"/>
      </w:tblGrid>
      <w:tr>
        <w:tblPrEx>
          <w:tblLayout w:type="fixed"/>
          <w:tblCellMar>
            <w:top w:w="0" w:type="dxa"/>
            <w:left w:w="0" w:type="dxa"/>
            <w:bottom w:w="0" w:type="dxa"/>
            <w:right w:w="0" w:type="dxa"/>
          </w:tblCellMar>
        </w:tblPrEx>
        <w:trPr>
          <w:trHeight w:val="540" w:hRule="atLeast"/>
        </w:trPr>
        <w:tc>
          <w:tcPr>
            <w:tcW w:w="8336"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highlight w:val="none"/>
                <w:u w:val="none"/>
                <w:lang w:eastAsia="zh-CN"/>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14:textFill>
                  <w14:solidFill>
                    <w14:schemeClr w14:val="tx1"/>
                  </w14:solidFill>
                </w14:textFill>
              </w:rPr>
              <w:t xml:space="preserve">           岩样加工实物工作计费基价表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表1</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7</w:t>
            </w:r>
          </w:p>
        </w:tc>
      </w:tr>
      <w:tr>
        <w:tblPrEx>
          <w:shd w:val="clear" w:color="auto" w:fill="auto"/>
          <w:tblLayout w:type="fixed"/>
          <w:tblCellMar>
            <w:top w:w="0" w:type="dxa"/>
            <w:left w:w="0" w:type="dxa"/>
            <w:bottom w:w="0" w:type="dxa"/>
            <w:right w:w="0" w:type="dxa"/>
          </w:tblCellMar>
        </w:tblPrEx>
        <w:trPr>
          <w:trHeight w:val="360" w:hRule="atLeast"/>
        </w:trPr>
        <w:tc>
          <w:tcPr>
            <w:tcW w:w="56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序号</w:t>
            </w:r>
          </w:p>
        </w:tc>
        <w:tc>
          <w:tcPr>
            <w:tcW w:w="47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试验项目</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计费单位</w:t>
            </w:r>
          </w:p>
        </w:tc>
        <w:tc>
          <w:tcPr>
            <w:tcW w:w="18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计费基价（元）</w:t>
            </w:r>
          </w:p>
        </w:tc>
      </w:tr>
      <w:tr>
        <w:tblPrEx>
          <w:shd w:val="clear" w:color="auto" w:fill="auto"/>
          <w:tblLayout w:type="fixed"/>
          <w:tblCellMar>
            <w:top w:w="0" w:type="dxa"/>
            <w:left w:w="0" w:type="dxa"/>
            <w:bottom w:w="0" w:type="dxa"/>
            <w:right w:w="0" w:type="dxa"/>
          </w:tblCellMar>
        </w:tblPrEx>
        <w:trPr>
          <w:trHeight w:val="360" w:hRule="atLeast"/>
        </w:trPr>
        <w:tc>
          <w:tcPr>
            <w:tcW w:w="566"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w:t>
            </w:r>
          </w:p>
        </w:tc>
        <w:tc>
          <w:tcPr>
            <w:tcW w:w="321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机切磨规格(mm)</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φ50~70岩芯</w:t>
            </w:r>
          </w:p>
        </w:tc>
        <w:tc>
          <w:tcPr>
            <w:tcW w:w="10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块</w:t>
            </w:r>
          </w:p>
        </w:tc>
        <w:tc>
          <w:tcPr>
            <w:tcW w:w="18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11.4</w:t>
            </w:r>
          </w:p>
        </w:tc>
      </w:tr>
      <w:tr>
        <w:tblPrEx>
          <w:shd w:val="clear" w:color="auto" w:fill="auto"/>
          <w:tblLayout w:type="fixed"/>
          <w:tblCellMar>
            <w:top w:w="0" w:type="dxa"/>
            <w:left w:w="0" w:type="dxa"/>
            <w:bottom w:w="0" w:type="dxa"/>
            <w:right w:w="0" w:type="dxa"/>
          </w:tblCellMar>
        </w:tblPrEx>
        <w:trPr>
          <w:trHeight w:val="360" w:hRule="atLeast"/>
        </w:trPr>
        <w:tc>
          <w:tcPr>
            <w:tcW w:w="566"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2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50*50*50</w:t>
            </w:r>
          </w:p>
        </w:tc>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21</w:t>
            </w:r>
          </w:p>
        </w:tc>
      </w:tr>
      <w:tr>
        <w:tblPrEx>
          <w:shd w:val="clear" w:color="auto" w:fill="auto"/>
          <w:tblLayout w:type="fixed"/>
          <w:tblCellMar>
            <w:top w:w="0" w:type="dxa"/>
            <w:left w:w="0" w:type="dxa"/>
            <w:bottom w:w="0" w:type="dxa"/>
            <w:right w:w="0" w:type="dxa"/>
          </w:tblCellMar>
        </w:tblPrEx>
        <w:trPr>
          <w:trHeight w:val="360" w:hRule="atLeast"/>
        </w:trPr>
        <w:tc>
          <w:tcPr>
            <w:tcW w:w="566"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2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50*50*100</w:t>
            </w:r>
          </w:p>
        </w:tc>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22.8</w:t>
            </w:r>
          </w:p>
        </w:tc>
      </w:tr>
      <w:tr>
        <w:tblPrEx>
          <w:shd w:val="clear" w:color="auto" w:fill="auto"/>
          <w:tblLayout w:type="fixed"/>
          <w:tblCellMar>
            <w:top w:w="0" w:type="dxa"/>
            <w:left w:w="0" w:type="dxa"/>
            <w:bottom w:w="0" w:type="dxa"/>
            <w:right w:w="0" w:type="dxa"/>
          </w:tblCellMar>
        </w:tblPrEx>
        <w:trPr>
          <w:trHeight w:val="360" w:hRule="atLeast"/>
        </w:trPr>
        <w:tc>
          <w:tcPr>
            <w:tcW w:w="566"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2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70*70*70</w:t>
            </w:r>
          </w:p>
        </w:tc>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25.8</w:t>
            </w:r>
          </w:p>
        </w:tc>
      </w:tr>
      <w:tr>
        <w:tblPrEx>
          <w:shd w:val="clear" w:color="auto" w:fill="auto"/>
          <w:tblLayout w:type="fixed"/>
          <w:tblCellMar>
            <w:top w:w="0" w:type="dxa"/>
            <w:left w:w="0" w:type="dxa"/>
            <w:bottom w:w="0" w:type="dxa"/>
            <w:right w:w="0" w:type="dxa"/>
          </w:tblCellMar>
        </w:tblPrEx>
        <w:trPr>
          <w:trHeight w:val="360" w:hRule="atLeast"/>
        </w:trPr>
        <w:tc>
          <w:tcPr>
            <w:tcW w:w="566"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2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100*100*100</w:t>
            </w:r>
          </w:p>
        </w:tc>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41.4</w:t>
            </w:r>
          </w:p>
        </w:tc>
      </w:tr>
      <w:tr>
        <w:tblPrEx>
          <w:shd w:val="clear" w:color="auto" w:fill="auto"/>
          <w:tblLayout w:type="fixed"/>
          <w:tblCellMar>
            <w:top w:w="0" w:type="dxa"/>
            <w:left w:w="0" w:type="dxa"/>
            <w:bottom w:w="0" w:type="dxa"/>
            <w:right w:w="0" w:type="dxa"/>
          </w:tblCellMar>
        </w:tblPrEx>
        <w:trPr>
          <w:trHeight w:val="360" w:hRule="atLeast"/>
        </w:trPr>
        <w:tc>
          <w:tcPr>
            <w:tcW w:w="56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w:t>
            </w: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不能机切手工切磨规格(mm)</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50*50*50</w:t>
            </w:r>
          </w:p>
        </w:tc>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22.8</w:t>
            </w:r>
          </w:p>
        </w:tc>
      </w:tr>
      <w:tr>
        <w:tblPrEx>
          <w:shd w:val="clear" w:color="auto" w:fill="auto"/>
          <w:tblLayout w:type="fixed"/>
          <w:tblCellMar>
            <w:top w:w="0" w:type="dxa"/>
            <w:left w:w="0" w:type="dxa"/>
            <w:bottom w:w="0" w:type="dxa"/>
            <w:right w:w="0" w:type="dxa"/>
          </w:tblCellMar>
        </w:tblPrEx>
        <w:trPr>
          <w:trHeight w:val="360" w:hRule="atLeast"/>
        </w:trPr>
        <w:tc>
          <w:tcPr>
            <w:tcW w:w="56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w:t>
            </w: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机开料</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50~200</w:t>
            </w:r>
          </w:p>
        </w:tc>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9.6</w:t>
            </w:r>
          </w:p>
        </w:tc>
      </w:tr>
      <w:tr>
        <w:tblPrEx>
          <w:shd w:val="clear" w:color="auto" w:fill="auto"/>
          <w:tblLayout w:type="fixed"/>
          <w:tblCellMar>
            <w:top w:w="0" w:type="dxa"/>
            <w:left w:w="0" w:type="dxa"/>
            <w:bottom w:w="0" w:type="dxa"/>
            <w:right w:w="0" w:type="dxa"/>
          </w:tblCellMar>
        </w:tblPrEx>
        <w:trPr>
          <w:trHeight w:val="360" w:hRule="atLeast"/>
        </w:trPr>
        <w:tc>
          <w:tcPr>
            <w:tcW w:w="56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w:t>
            </w:r>
          </w:p>
        </w:tc>
        <w:tc>
          <w:tcPr>
            <w:tcW w:w="32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机磨</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每两面</w:t>
            </w:r>
          </w:p>
        </w:tc>
        <w:tc>
          <w:tcPr>
            <w:tcW w:w="10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8.4</w:t>
            </w:r>
          </w:p>
        </w:tc>
      </w:tr>
      <w:tr>
        <w:tblPrEx>
          <w:shd w:val="clear" w:color="auto" w:fill="auto"/>
          <w:tblLayout w:type="fixed"/>
          <w:tblCellMar>
            <w:top w:w="0" w:type="dxa"/>
            <w:left w:w="0" w:type="dxa"/>
            <w:bottom w:w="0" w:type="dxa"/>
            <w:right w:w="0" w:type="dxa"/>
          </w:tblCellMar>
        </w:tblPrEx>
        <w:trPr>
          <w:trHeight w:val="360" w:hRule="atLeast"/>
        </w:trPr>
        <w:tc>
          <w:tcPr>
            <w:tcW w:w="566"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w:t>
            </w:r>
          </w:p>
        </w:tc>
        <w:tc>
          <w:tcPr>
            <w:tcW w:w="321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薄片切磨</w:t>
            </w: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不煮胶</w:t>
            </w:r>
          </w:p>
        </w:tc>
        <w:tc>
          <w:tcPr>
            <w:tcW w:w="109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片</w:t>
            </w:r>
          </w:p>
        </w:tc>
        <w:tc>
          <w:tcPr>
            <w:tcW w:w="18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16.2</w:t>
            </w:r>
          </w:p>
        </w:tc>
      </w:tr>
      <w:tr>
        <w:tblPrEx>
          <w:shd w:val="clear" w:color="auto" w:fill="auto"/>
          <w:tblLayout w:type="fixed"/>
          <w:tblCellMar>
            <w:top w:w="0" w:type="dxa"/>
            <w:left w:w="0" w:type="dxa"/>
            <w:bottom w:w="0" w:type="dxa"/>
            <w:right w:w="0" w:type="dxa"/>
          </w:tblCellMar>
        </w:tblPrEx>
        <w:trPr>
          <w:trHeight w:val="360" w:hRule="atLeast"/>
        </w:trPr>
        <w:tc>
          <w:tcPr>
            <w:tcW w:w="566"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32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5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煮胶</w:t>
            </w:r>
          </w:p>
        </w:tc>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893"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35.4</w:t>
            </w:r>
          </w:p>
        </w:tc>
      </w:tr>
    </w:tbl>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br w:type="page"/>
      </w:r>
    </w:p>
    <w:tbl>
      <w:tblPr>
        <w:tblStyle w:val="11"/>
        <w:tblW w:w="8336" w:type="dxa"/>
        <w:tblInd w:w="0" w:type="dxa"/>
        <w:shd w:val="clear" w:color="auto" w:fill="auto"/>
        <w:tblLayout w:type="fixed"/>
        <w:tblCellMar>
          <w:top w:w="0" w:type="dxa"/>
          <w:left w:w="0" w:type="dxa"/>
          <w:bottom w:w="0" w:type="dxa"/>
          <w:right w:w="0" w:type="dxa"/>
        </w:tblCellMar>
      </w:tblPr>
      <w:tblGrid>
        <w:gridCol w:w="465"/>
        <w:gridCol w:w="1335"/>
        <w:gridCol w:w="1987"/>
        <w:gridCol w:w="900"/>
        <w:gridCol w:w="1552"/>
        <w:gridCol w:w="2097"/>
      </w:tblGrid>
      <w:tr>
        <w:tblPrEx>
          <w:tblLayout w:type="fixed"/>
          <w:tblCellMar>
            <w:top w:w="0" w:type="dxa"/>
            <w:left w:w="0" w:type="dxa"/>
            <w:bottom w:w="0" w:type="dxa"/>
            <w:right w:w="0" w:type="dxa"/>
          </w:tblCellMar>
        </w:tblPrEx>
        <w:trPr>
          <w:trHeight w:val="540" w:hRule="atLeast"/>
        </w:trPr>
        <w:tc>
          <w:tcPr>
            <w:tcW w:w="8336"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highlight w:val="none"/>
                <w:u w:val="none"/>
                <w:lang w:eastAsia="zh-CN"/>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14:textFill>
                  <w14:solidFill>
                    <w14:schemeClr w14:val="tx1"/>
                  </w14:solidFill>
                </w14:textFill>
              </w:rPr>
              <w:t xml:space="preserve">        岩样物理力学试验实物工作计费基价表      </w:t>
            </w:r>
            <w:r>
              <w:rPr>
                <w:rFonts w:hint="eastAsia" w:asciiTheme="minorEastAsia" w:hAnsiTheme="minorEastAsia" w:eastAsiaTheme="minorEastAsia" w:cstheme="minorEastAsia"/>
                <w:color w:val="000000" w:themeColor="text1"/>
                <w:kern w:val="0"/>
                <w:sz w:val="24"/>
                <w:szCs w:val="24"/>
                <w:highlight w:val="none"/>
                <w:lang w:bidi="ar"/>
                <w14:textFill>
                  <w14:solidFill>
                    <w14:schemeClr w14:val="tx1"/>
                  </w14:solidFill>
                </w14:textFill>
              </w:rPr>
              <w:t>表1</w:t>
            </w:r>
            <w:r>
              <w:rPr>
                <w:rFonts w:hint="eastAsia" w:asciiTheme="minorEastAsia" w:hAnsiTheme="minorEastAsia" w:eastAsiaTheme="minorEastAsia" w:cstheme="minorEastAsia"/>
                <w:color w:val="000000" w:themeColor="text1"/>
                <w:kern w:val="0"/>
                <w:sz w:val="24"/>
                <w:szCs w:val="24"/>
                <w:highlight w:val="none"/>
                <w:lang w:val="en-US" w:eastAsia="zh-CN" w:bidi="ar"/>
                <w14:textFill>
                  <w14:solidFill>
                    <w14:schemeClr w14:val="tx1"/>
                  </w14:solidFill>
                </w14:textFill>
              </w:rPr>
              <w:t>8</w:t>
            </w:r>
          </w:p>
        </w:tc>
      </w:tr>
      <w:tr>
        <w:tblPrEx>
          <w:tblLayout w:type="fixed"/>
          <w:tblCellMar>
            <w:top w:w="0" w:type="dxa"/>
            <w:left w:w="0" w:type="dxa"/>
            <w:bottom w:w="0" w:type="dxa"/>
            <w:right w:w="0" w:type="dxa"/>
          </w:tblCellMar>
        </w:tblPrEx>
        <w:trPr>
          <w:trHeight w:val="360" w:hRule="atLeast"/>
        </w:trPr>
        <w:tc>
          <w:tcPr>
            <w:tcW w:w="4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序号</w:t>
            </w:r>
          </w:p>
        </w:tc>
        <w:tc>
          <w:tcPr>
            <w:tcW w:w="332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试验项目</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计费单位</w:t>
            </w:r>
          </w:p>
        </w:tc>
        <w:tc>
          <w:tcPr>
            <w:tcW w:w="155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计费基价（元）</w:t>
            </w:r>
          </w:p>
        </w:tc>
        <w:tc>
          <w:tcPr>
            <w:tcW w:w="209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备注</w:t>
            </w:r>
          </w:p>
        </w:tc>
      </w:tr>
      <w:tr>
        <w:tblPrEx>
          <w:tblLayout w:type="fixed"/>
          <w:tblCellMar>
            <w:top w:w="0" w:type="dxa"/>
            <w:left w:w="0" w:type="dxa"/>
            <w:bottom w:w="0" w:type="dxa"/>
            <w:right w:w="0" w:type="dxa"/>
          </w:tblCellMar>
        </w:tblPrEx>
        <w:trPr>
          <w:trHeight w:val="360" w:hRule="atLeast"/>
        </w:trPr>
        <w:tc>
          <w:tcPr>
            <w:tcW w:w="46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w:t>
            </w:r>
          </w:p>
        </w:tc>
        <w:tc>
          <w:tcPr>
            <w:tcW w:w="3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含水率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项</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8.4</w:t>
            </w:r>
          </w:p>
        </w:tc>
        <w:tc>
          <w:tcPr>
            <w:tcW w:w="2097"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6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颗粒密度</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比重瓶法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组</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28.2</w:t>
            </w:r>
          </w:p>
        </w:tc>
        <w:tc>
          <w:tcPr>
            <w:tcW w:w="2097"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65"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块体密度</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水中称量法</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块</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8.4</w:t>
            </w:r>
          </w:p>
        </w:tc>
        <w:tc>
          <w:tcPr>
            <w:tcW w:w="2097"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6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量积法</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8.4</w:t>
            </w:r>
          </w:p>
        </w:tc>
        <w:tc>
          <w:tcPr>
            <w:tcW w:w="2097"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6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蜡封法</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10.8</w:t>
            </w:r>
          </w:p>
        </w:tc>
        <w:tc>
          <w:tcPr>
            <w:tcW w:w="2097"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6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w:t>
            </w:r>
          </w:p>
        </w:tc>
        <w:tc>
          <w:tcPr>
            <w:tcW w:w="3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吸水率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组</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28.2</w:t>
            </w:r>
          </w:p>
        </w:tc>
        <w:tc>
          <w:tcPr>
            <w:tcW w:w="2097" w:type="dxa"/>
            <w:vMerge w:val="restart"/>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每组3块</w:t>
            </w:r>
          </w:p>
        </w:tc>
      </w:tr>
      <w:tr>
        <w:tblPrEx>
          <w:shd w:val="clear" w:color="auto" w:fill="auto"/>
          <w:tblLayout w:type="fixed"/>
          <w:tblCellMar>
            <w:top w:w="0" w:type="dxa"/>
            <w:left w:w="0" w:type="dxa"/>
            <w:bottom w:w="0" w:type="dxa"/>
            <w:right w:w="0" w:type="dxa"/>
          </w:tblCellMar>
        </w:tblPrEx>
        <w:trPr>
          <w:trHeight w:val="360" w:hRule="atLeast"/>
        </w:trPr>
        <w:tc>
          <w:tcPr>
            <w:tcW w:w="4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w:t>
            </w:r>
          </w:p>
        </w:tc>
        <w:tc>
          <w:tcPr>
            <w:tcW w:w="3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饱和吸水率</w:t>
            </w:r>
          </w:p>
        </w:tc>
        <w:tc>
          <w:tcPr>
            <w:tcW w:w="900"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组</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70.2</w:t>
            </w:r>
          </w:p>
        </w:tc>
        <w:tc>
          <w:tcPr>
            <w:tcW w:w="2097" w:type="dxa"/>
            <w:vMerge w:val="continue"/>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65"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6</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单轴抗压强度</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天然</w:t>
            </w:r>
          </w:p>
        </w:tc>
        <w:tc>
          <w:tcPr>
            <w:tcW w:w="900"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28.2</w:t>
            </w:r>
          </w:p>
        </w:tc>
        <w:tc>
          <w:tcPr>
            <w:tcW w:w="2097" w:type="dxa"/>
            <w:vMerge w:val="continue"/>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6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饱和</w:t>
            </w:r>
          </w:p>
        </w:tc>
        <w:tc>
          <w:tcPr>
            <w:tcW w:w="900"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55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42</w:t>
            </w:r>
          </w:p>
        </w:tc>
        <w:tc>
          <w:tcPr>
            <w:tcW w:w="2097" w:type="dxa"/>
            <w:vMerge w:val="continue"/>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65"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7</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单轴压缩变形</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干</w:t>
            </w:r>
          </w:p>
        </w:tc>
        <w:tc>
          <w:tcPr>
            <w:tcW w:w="900"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552" w:type="dxa"/>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111</w:t>
            </w:r>
          </w:p>
        </w:tc>
        <w:tc>
          <w:tcPr>
            <w:tcW w:w="2097" w:type="dxa"/>
            <w:vMerge w:val="continue"/>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6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饱和</w:t>
            </w:r>
          </w:p>
        </w:tc>
        <w:tc>
          <w:tcPr>
            <w:tcW w:w="900"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55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139.8</w:t>
            </w:r>
          </w:p>
        </w:tc>
        <w:tc>
          <w:tcPr>
            <w:tcW w:w="2097" w:type="dxa"/>
            <w:vMerge w:val="continue"/>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8</w:t>
            </w:r>
          </w:p>
        </w:tc>
        <w:tc>
          <w:tcPr>
            <w:tcW w:w="3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三轴压缩强度</w:t>
            </w:r>
          </w:p>
        </w:tc>
        <w:tc>
          <w:tcPr>
            <w:tcW w:w="900"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456</w:t>
            </w:r>
          </w:p>
        </w:tc>
        <w:tc>
          <w:tcPr>
            <w:tcW w:w="209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每组5块</w:t>
            </w:r>
          </w:p>
        </w:tc>
      </w:tr>
      <w:tr>
        <w:tblPrEx>
          <w:tblLayout w:type="fixed"/>
          <w:tblCellMar>
            <w:top w:w="0" w:type="dxa"/>
            <w:left w:w="0" w:type="dxa"/>
            <w:bottom w:w="0" w:type="dxa"/>
            <w:right w:w="0" w:type="dxa"/>
          </w:tblCellMar>
        </w:tblPrEx>
        <w:trPr>
          <w:trHeight w:val="360" w:hRule="atLeast"/>
        </w:trPr>
        <w:tc>
          <w:tcPr>
            <w:tcW w:w="4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9</w:t>
            </w:r>
          </w:p>
        </w:tc>
        <w:tc>
          <w:tcPr>
            <w:tcW w:w="3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抗拉强度</w:t>
            </w:r>
          </w:p>
        </w:tc>
        <w:tc>
          <w:tcPr>
            <w:tcW w:w="900"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55.8</w:t>
            </w:r>
          </w:p>
        </w:tc>
        <w:tc>
          <w:tcPr>
            <w:tcW w:w="209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每组5块</w:t>
            </w:r>
          </w:p>
        </w:tc>
      </w:tr>
      <w:tr>
        <w:tblPrEx>
          <w:tblLayout w:type="fixed"/>
          <w:tblCellMar>
            <w:top w:w="0" w:type="dxa"/>
            <w:left w:w="0" w:type="dxa"/>
            <w:bottom w:w="0" w:type="dxa"/>
            <w:right w:w="0" w:type="dxa"/>
          </w:tblCellMar>
        </w:tblPrEx>
        <w:trPr>
          <w:trHeight w:val="360" w:hRule="atLeast"/>
        </w:trPr>
        <w:tc>
          <w:tcPr>
            <w:tcW w:w="465" w:type="dxa"/>
            <w:vMerge w:val="restart"/>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10</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直剪</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岩块、岩石与混凝土</w:t>
            </w:r>
          </w:p>
        </w:tc>
        <w:tc>
          <w:tcPr>
            <w:tcW w:w="900"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55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161.4</w:t>
            </w:r>
          </w:p>
        </w:tc>
        <w:tc>
          <w:tcPr>
            <w:tcW w:w="2097" w:type="dxa"/>
            <w:vMerge w:val="restart"/>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每组5块</w:t>
            </w:r>
          </w:p>
        </w:tc>
      </w:tr>
      <w:tr>
        <w:tblPrEx>
          <w:shd w:val="clear" w:color="auto" w:fill="auto"/>
          <w:tblLayout w:type="fixed"/>
          <w:tblCellMar>
            <w:top w:w="0" w:type="dxa"/>
            <w:left w:w="0" w:type="dxa"/>
            <w:bottom w:w="0" w:type="dxa"/>
            <w:right w:w="0" w:type="dxa"/>
          </w:tblCellMar>
        </w:tblPrEx>
        <w:trPr>
          <w:trHeight w:val="360" w:hRule="atLeast"/>
        </w:trPr>
        <w:tc>
          <w:tcPr>
            <w:tcW w:w="465" w:type="dxa"/>
            <w:vMerge w:val="continue"/>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结构面</w:t>
            </w:r>
          </w:p>
        </w:tc>
        <w:tc>
          <w:tcPr>
            <w:tcW w:w="900"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155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173.4</w:t>
            </w:r>
          </w:p>
        </w:tc>
        <w:tc>
          <w:tcPr>
            <w:tcW w:w="2097" w:type="dxa"/>
            <w:vMerge w:val="continue"/>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6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11</w:t>
            </w:r>
          </w:p>
        </w:tc>
        <w:tc>
          <w:tcPr>
            <w:tcW w:w="3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点荷载强度</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块</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15.6</w:t>
            </w:r>
          </w:p>
        </w:tc>
        <w:tc>
          <w:tcPr>
            <w:tcW w:w="209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65" w:type="dxa"/>
            <w:tcBorders>
              <w:top w:val="single" w:color="000000" w:sz="4" w:space="0"/>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12</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冻融</w:t>
            </w:r>
          </w:p>
        </w:tc>
        <w:tc>
          <w:tcPr>
            <w:tcW w:w="1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直接</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组</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1473</w:t>
            </w:r>
          </w:p>
        </w:tc>
        <w:tc>
          <w:tcPr>
            <w:tcW w:w="209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冻融25次，每组3块</w:t>
            </w:r>
          </w:p>
        </w:tc>
      </w:tr>
      <w:tr>
        <w:tblPrEx>
          <w:tblLayout w:type="fixed"/>
          <w:tblCellMar>
            <w:top w:w="0" w:type="dxa"/>
            <w:left w:w="0" w:type="dxa"/>
            <w:bottom w:w="0" w:type="dxa"/>
            <w:right w:w="0" w:type="dxa"/>
          </w:tblCellMar>
        </w:tblPrEx>
        <w:trPr>
          <w:trHeight w:val="360" w:hRule="atLeast"/>
        </w:trPr>
        <w:tc>
          <w:tcPr>
            <w:tcW w:w="465"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13</w:t>
            </w:r>
          </w:p>
        </w:tc>
        <w:tc>
          <w:tcPr>
            <w:tcW w:w="332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薄片鉴定</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件</w:t>
            </w:r>
          </w:p>
        </w:tc>
        <w:tc>
          <w:tcPr>
            <w:tcW w:w="15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31.2</w:t>
            </w:r>
          </w:p>
        </w:tc>
        <w:tc>
          <w:tcPr>
            <w:tcW w:w="2097"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bl>
    <w:p>
      <w:pPr>
        <w:ind w:firstLine="0" w:firstLineChars="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p>
    <w:p>
      <w:pP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br w:type="page"/>
      </w:r>
    </w:p>
    <w:p>
      <w:pPr>
        <w:ind w:firstLine="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8"/>
          <w:szCs w:val="28"/>
          <w:highlight w:val="none"/>
          <w:lang w:val="en-US" w:eastAsia="zh-CN"/>
          <w14:textFill>
            <w14:solidFill>
              <w14:schemeClr w14:val="tx1"/>
            </w14:solidFill>
          </w14:textFill>
        </w:rPr>
        <w:t>案例一</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：某道路工程，勘察等级为乙级，通过政府招投标程序确定为某勘察单位实施，勘察内容如下表所示：</w:t>
      </w:r>
    </w:p>
    <w:tbl>
      <w:tblPr>
        <w:tblStyle w:val="11"/>
        <w:tblW w:w="7035" w:type="dxa"/>
        <w:jc w:val="center"/>
        <w:tblInd w:w="0" w:type="dxa"/>
        <w:shd w:val="clear" w:color="auto" w:fill="auto"/>
        <w:tblLayout w:type="fixed"/>
        <w:tblCellMar>
          <w:top w:w="0" w:type="dxa"/>
          <w:left w:w="0" w:type="dxa"/>
          <w:bottom w:w="0" w:type="dxa"/>
          <w:right w:w="0" w:type="dxa"/>
        </w:tblCellMar>
      </w:tblPr>
      <w:tblGrid>
        <w:gridCol w:w="546"/>
        <w:gridCol w:w="2081"/>
        <w:gridCol w:w="546"/>
        <w:gridCol w:w="802"/>
        <w:gridCol w:w="3060"/>
      </w:tblGrid>
      <w:tr>
        <w:tblPrEx>
          <w:shd w:val="clear" w:color="auto" w:fill="auto"/>
          <w:tblLayout w:type="fixed"/>
          <w:tblCellMar>
            <w:top w:w="0" w:type="dxa"/>
            <w:left w:w="0" w:type="dxa"/>
            <w:bottom w:w="0" w:type="dxa"/>
            <w:right w:w="0" w:type="dxa"/>
          </w:tblCellMar>
        </w:tblPrEx>
        <w:trPr>
          <w:trHeight w:val="500" w:hRule="atLeast"/>
          <w:jc w:val="center"/>
        </w:trPr>
        <w:tc>
          <w:tcPr>
            <w:tcW w:w="7035"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8"/>
                <w:szCs w:val="28"/>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8"/>
                <w:szCs w:val="28"/>
                <w:highlight w:val="none"/>
                <w:u w:val="none"/>
                <w:lang w:val="en-US" w:eastAsia="zh-CN" w:bidi="ar"/>
                <w14:textFill>
                  <w14:solidFill>
                    <w14:schemeClr w14:val="tx1"/>
                  </w14:solidFill>
                </w14:textFill>
              </w:rPr>
              <w:t>勘察工程工程量表</w:t>
            </w:r>
          </w:p>
        </w:tc>
      </w:tr>
      <w:tr>
        <w:tblPrEx>
          <w:shd w:val="clear" w:color="auto" w:fill="auto"/>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序号</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工作项目</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单位</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数量</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备注</w:t>
            </w:r>
          </w:p>
        </w:tc>
      </w:tr>
      <w:tr>
        <w:tblPrEx>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1</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点位测量</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组日</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2</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2</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勘探</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2.1</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D</w:t>
            </w:r>
            <w:r>
              <w:rPr>
                <w:rStyle w:val="33"/>
                <w:rFonts w:hint="eastAsia" w:asciiTheme="minorEastAsia" w:hAnsiTheme="minorEastAsia" w:eastAsiaTheme="minorEastAsia" w:cstheme="minorEastAsia"/>
                <w:color w:val="000000" w:themeColor="text1"/>
                <w:highlight w:val="none"/>
                <w:lang w:val="en-US" w:eastAsia="zh-CN" w:bidi="ar"/>
                <w14:textFill>
                  <w14:solidFill>
                    <w14:schemeClr w14:val="tx1"/>
                  </w14:solidFill>
                </w14:textFill>
              </w:rPr>
              <w:t>≤</w:t>
            </w: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10m</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Ⅰ类地层</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m</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25.00 </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II类地层</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m</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200.00 </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Ⅲ类地层</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m</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275.00 </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2.2</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10</w:t>
            </w:r>
            <w:r>
              <w:rPr>
                <w:rStyle w:val="33"/>
                <w:rFonts w:hint="eastAsia" w:asciiTheme="minorEastAsia" w:hAnsiTheme="minorEastAsia" w:eastAsiaTheme="minorEastAsia" w:cstheme="minorEastAsia"/>
                <w:color w:val="000000" w:themeColor="text1"/>
                <w:highlight w:val="none"/>
                <w:lang w:val="en-US" w:eastAsia="zh-CN" w:bidi="ar"/>
                <w14:textFill>
                  <w14:solidFill>
                    <w14:schemeClr w14:val="tx1"/>
                  </w14:solidFill>
                </w14:textFill>
              </w:rPr>
              <w:t>＜</w:t>
            </w: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D</w:t>
            </w:r>
            <w:r>
              <w:rPr>
                <w:rStyle w:val="33"/>
                <w:rFonts w:hint="eastAsia" w:asciiTheme="minorEastAsia" w:hAnsiTheme="minorEastAsia" w:eastAsiaTheme="minorEastAsia" w:cstheme="minorEastAsia"/>
                <w:color w:val="000000" w:themeColor="text1"/>
                <w:highlight w:val="none"/>
                <w:lang w:val="en-US" w:eastAsia="zh-CN" w:bidi="ar"/>
                <w14:textFill>
                  <w14:solidFill>
                    <w14:schemeClr w14:val="tx1"/>
                  </w14:solidFill>
                </w14:textFill>
              </w:rPr>
              <w:t>≤</w:t>
            </w: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20m</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II类地层</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m</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100.00 </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Ⅳ类地层</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m</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50.00 </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3</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取样</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3.1</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取土试样</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敞口式自由活塞薄壁取土器</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件</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50</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扰动取样</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件</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10</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3.2</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取水</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件</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2</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4</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原位测试</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4.1</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标准贯入试验</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D</w:t>
            </w:r>
            <w:r>
              <w:rPr>
                <w:rStyle w:val="33"/>
                <w:rFonts w:hint="eastAsia" w:asciiTheme="minorEastAsia" w:hAnsiTheme="minorEastAsia" w:eastAsiaTheme="minorEastAsia" w:cstheme="minorEastAsia"/>
                <w:color w:val="000000" w:themeColor="text1"/>
                <w:highlight w:val="none"/>
                <w:lang w:val="en-US" w:eastAsia="zh-CN" w:bidi="ar"/>
                <w14:textFill>
                  <w14:solidFill>
                    <w14:schemeClr w14:val="tx1"/>
                  </w14:solidFill>
                </w14:textFill>
              </w:rPr>
              <w:t>≤</w:t>
            </w: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20m</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Ⅰ类地层</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次</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26.00 </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Ⅱ类地层</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次</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26.00 </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4.2</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重型动探试验</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D</w:t>
            </w:r>
            <w:r>
              <w:rPr>
                <w:rStyle w:val="33"/>
                <w:rFonts w:hint="eastAsia" w:asciiTheme="minorEastAsia" w:hAnsiTheme="minorEastAsia" w:eastAsiaTheme="minorEastAsia" w:cstheme="minorEastAsia"/>
                <w:color w:val="000000" w:themeColor="text1"/>
                <w:highlight w:val="none"/>
                <w:lang w:val="en-US" w:eastAsia="zh-CN" w:bidi="ar"/>
                <w14:textFill>
                  <w14:solidFill>
                    <w14:schemeClr w14:val="tx1"/>
                  </w14:solidFill>
                </w14:textFill>
              </w:rPr>
              <w:t>≤</w:t>
            </w: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10m</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Ⅳ类地层</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m</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15.0 </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5</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室内实验</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5.1</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土工实验</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含水率</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项</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50 </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密度（腊封法）</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项</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50 </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比重</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项</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50 </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液限（碟式仪法）</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项</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50 </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塑限</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项</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50 </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压缩（慢速法）</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项</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50 </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直接剪切（快剪）</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项</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50 </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颗粒分析</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项</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50 </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5.2</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水质分析</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水质简分析</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水质简分析</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件</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 </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易溶盐分析</w:t>
            </w:r>
          </w:p>
        </w:tc>
        <w:tc>
          <w:tcPr>
            <w:tcW w:w="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件</w:t>
            </w:r>
          </w:p>
        </w:tc>
        <w:tc>
          <w:tcPr>
            <w:tcW w:w="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3 </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bl>
    <w:p>
      <w:p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br w:type="page"/>
      </w:r>
    </w:p>
    <w:p>
      <w:pPr>
        <w:numPr>
          <w:ilvl w:val="0"/>
          <w:numId w:val="0"/>
        </w:num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控制价</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费用计算如下：</w:t>
      </w:r>
    </w:p>
    <w:tbl>
      <w:tblPr>
        <w:tblStyle w:val="11"/>
        <w:tblW w:w="8336" w:type="dxa"/>
        <w:tblInd w:w="0" w:type="dxa"/>
        <w:shd w:val="clear" w:color="auto" w:fill="auto"/>
        <w:tblLayout w:type="fixed"/>
        <w:tblCellMar>
          <w:top w:w="0" w:type="dxa"/>
          <w:left w:w="0" w:type="dxa"/>
          <w:bottom w:w="0" w:type="dxa"/>
          <w:right w:w="0" w:type="dxa"/>
        </w:tblCellMar>
      </w:tblPr>
      <w:tblGrid>
        <w:gridCol w:w="470"/>
        <w:gridCol w:w="1979"/>
        <w:gridCol w:w="472"/>
        <w:gridCol w:w="944"/>
        <w:gridCol w:w="830"/>
        <w:gridCol w:w="763"/>
        <w:gridCol w:w="1142"/>
        <w:gridCol w:w="1736"/>
      </w:tblGrid>
      <w:tr>
        <w:tblPrEx>
          <w:tblLayout w:type="fixed"/>
          <w:tblCellMar>
            <w:top w:w="0" w:type="dxa"/>
            <w:left w:w="0" w:type="dxa"/>
            <w:bottom w:w="0" w:type="dxa"/>
            <w:right w:w="0" w:type="dxa"/>
          </w:tblCellMar>
        </w:tblPrEx>
        <w:trPr>
          <w:trHeight w:val="500" w:hRule="atLeast"/>
        </w:trPr>
        <w:tc>
          <w:tcPr>
            <w:tcW w:w="8336"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36"/>
                <w:szCs w:val="36"/>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36"/>
                <w:szCs w:val="36"/>
                <w:highlight w:val="none"/>
                <w:u w:val="none"/>
                <w:lang w:val="en-US" w:eastAsia="zh-CN" w:bidi="ar"/>
                <w14:textFill>
                  <w14:solidFill>
                    <w14:schemeClr w14:val="tx1"/>
                  </w14:solidFill>
                </w14:textFill>
              </w:rPr>
              <w:t>勘察工程计费表</w:t>
            </w:r>
          </w:p>
        </w:tc>
      </w:tr>
      <w:tr>
        <w:tblPrEx>
          <w:tblLayout w:type="fixed"/>
          <w:tblCellMar>
            <w:top w:w="0" w:type="dxa"/>
            <w:left w:w="0" w:type="dxa"/>
            <w:bottom w:w="0" w:type="dxa"/>
            <w:right w:w="0" w:type="dxa"/>
          </w:tblCellMar>
        </w:tblPrEx>
        <w:trPr>
          <w:trHeight w:val="54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序号</w:t>
            </w: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工作项目</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单位</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数量</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附加调整系数</w:t>
            </w: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单价（元）</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合价（元）</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备注</w:t>
            </w: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1</w:t>
            </w: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点位测量</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组日</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2</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 xml:space="preserve">1.0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 xml:space="preserve">600 </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 xml:space="preserve">1200.00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2</w:t>
            </w: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勘探</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 xml:space="preserve">62475.00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2.1</w:t>
            </w: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D≤10m</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Ⅰ类地层</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m</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25.00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1.5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52 </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1950.00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II类地层</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m</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200.00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1.5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52 </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15600.00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Ⅲ类地层</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m</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275.00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1.5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52 </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21450.00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2.2</w:t>
            </w: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10＜D≤20m</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II类地层</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m</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100.00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1.5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64 </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9600.00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Ⅳ类地层</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m</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50.00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1.5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185 </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13875.00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3</w:t>
            </w: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取样</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 xml:space="preserve">1338.00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3.1</w:t>
            </w: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取土试样</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54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敞口式自由活塞薄壁取土器</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件</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50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1.0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24 </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1200.00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扰动取样</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件</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10</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1.0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9 </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90.00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3.2</w:t>
            </w: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取水</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件</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2</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1.0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24 </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48.00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4</w:t>
            </w: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原位测试</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 xml:space="preserve">6184.00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4.1</w:t>
            </w: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标准贯入试验</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D≤20m</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Ⅰ类地层</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次</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26.00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1.0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67 </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1742.00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Ⅱ类地层</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次</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26.00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1.0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67 </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1742.00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4.2</w:t>
            </w: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重型动探试验</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D≤10m</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Ⅳ类地层</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m</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15.0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1.0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180 </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2700.00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5</w:t>
            </w: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室内实验</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 xml:space="preserve">9171.00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5.1</w:t>
            </w: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土工实验</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含水率</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项</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50 </w:t>
            </w:r>
          </w:p>
        </w:tc>
        <w:tc>
          <w:tcPr>
            <w:tcW w:w="8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 </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240.00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密度（腊封法）</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项</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50 </w:t>
            </w:r>
          </w:p>
        </w:tc>
        <w:tc>
          <w:tcPr>
            <w:tcW w:w="8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11 </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540.00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比重</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项</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50 </w:t>
            </w:r>
          </w:p>
        </w:tc>
        <w:tc>
          <w:tcPr>
            <w:tcW w:w="8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11 </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570.00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液限（碟式仪法）</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项</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50 </w:t>
            </w:r>
          </w:p>
        </w:tc>
        <w:tc>
          <w:tcPr>
            <w:tcW w:w="8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14 </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690.00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塑限</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项</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50 </w:t>
            </w:r>
          </w:p>
        </w:tc>
        <w:tc>
          <w:tcPr>
            <w:tcW w:w="8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18 </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900.00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压缩（慢速法）</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项</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50 </w:t>
            </w:r>
          </w:p>
        </w:tc>
        <w:tc>
          <w:tcPr>
            <w:tcW w:w="8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70 </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3480.00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直接剪切（快剪）</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项</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50 </w:t>
            </w:r>
          </w:p>
        </w:tc>
        <w:tc>
          <w:tcPr>
            <w:tcW w:w="8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29 </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1470.00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颗粒分析</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项</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50 </w:t>
            </w:r>
          </w:p>
        </w:tc>
        <w:tc>
          <w:tcPr>
            <w:tcW w:w="8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16 </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780.00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5.2</w:t>
            </w: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水质分析</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水质简分析</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件</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 </w:t>
            </w:r>
          </w:p>
        </w:tc>
        <w:tc>
          <w:tcPr>
            <w:tcW w:w="8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132 </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264.00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易溶盐分析</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件</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3 </w:t>
            </w:r>
          </w:p>
        </w:tc>
        <w:tc>
          <w:tcPr>
            <w:tcW w:w="83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79 </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237.00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8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6</w:t>
            </w: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技术工作费</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
                <w14:textFill>
                  <w14:solidFill>
                    <w14:schemeClr w14:val="tx1"/>
                  </w14:solidFill>
                </w14:textFill>
              </w:rPr>
              <w:t>实物费合计金额</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
                <w14:textFill>
                  <w14:solidFill>
                    <w14:schemeClr w14:val="tx1"/>
                  </w14:solidFill>
                </w14:textFill>
              </w:rPr>
              <w:t>勘察等级</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
                <w14:textFill>
                  <w14:solidFill>
                    <w14:schemeClr w14:val="tx1"/>
                  </w14:solidFill>
                </w14:textFill>
              </w:rPr>
              <w:t>比例</w:t>
            </w: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
                <w14:textFill>
                  <w14:solidFill>
                    <w14:schemeClr w14:val="tx1"/>
                  </w14:solidFill>
                </w14:textFill>
              </w:rPr>
              <w:t>技术费金额</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5"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p>
        </w:tc>
        <w:tc>
          <w:tcPr>
            <w:tcW w:w="245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岩土工程勘察技术工作费</w:t>
            </w: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79168.00 </w:t>
            </w: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
                <w14:textFill>
                  <w14:solidFill>
                    <w14:schemeClr w14:val="tx1"/>
                  </w14:solidFill>
                </w14:textFill>
              </w:rPr>
              <w:t>乙级</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
                <w14:textFill>
                  <w14:solidFill>
                    <w14:schemeClr w14:val="tx1"/>
                  </w14:solidFill>
                </w14:textFill>
              </w:rPr>
              <w:t>100%</w:t>
            </w: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79168.00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 xml:space="preserve">79168.00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4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7</w:t>
            </w:r>
          </w:p>
        </w:tc>
        <w:tc>
          <w:tcPr>
            <w:tcW w:w="19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勘察费用合计</w:t>
            </w:r>
          </w:p>
        </w:tc>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 xml:space="preserve">142502.40 </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附加调整系数0.9</w:t>
            </w:r>
          </w:p>
        </w:tc>
      </w:tr>
    </w:tbl>
    <w:p>
      <w:p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注：其他费用按实际发生工程量在结算时计入。</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br w:type="page"/>
      </w:r>
    </w:p>
    <w:p>
      <w:pPr>
        <w:numPr>
          <w:ilvl w:val="0"/>
          <w:numId w:val="0"/>
        </w:num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8"/>
          <w:szCs w:val="28"/>
          <w:highlight w:val="none"/>
          <w:lang w:val="en-US" w:eastAsia="zh-CN"/>
          <w14:textFill>
            <w14:solidFill>
              <w14:schemeClr w14:val="tx1"/>
            </w14:solidFill>
          </w14:textFill>
        </w:rPr>
        <w:t>案例二：</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某轨道交通项目，勘察等级为甲级，通过政府招投标程序确定为某勘察单位实施，中标优惠率为5%，</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利用部分已有勘察资料的实物工作收费为：钻探242880元，标准贯入试验6800元，室内试验13000元。其余补充</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勘察</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部分</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内容如下表所示：</w:t>
      </w:r>
    </w:p>
    <w:tbl>
      <w:tblPr>
        <w:tblStyle w:val="11"/>
        <w:tblW w:w="8336" w:type="dxa"/>
        <w:tblInd w:w="0" w:type="dxa"/>
        <w:shd w:val="clear" w:color="auto" w:fill="auto"/>
        <w:tblLayout w:type="fixed"/>
        <w:tblCellMar>
          <w:top w:w="0" w:type="dxa"/>
          <w:left w:w="0" w:type="dxa"/>
          <w:bottom w:w="0" w:type="dxa"/>
          <w:right w:w="0" w:type="dxa"/>
        </w:tblCellMar>
      </w:tblPr>
      <w:tblGrid>
        <w:gridCol w:w="767"/>
        <w:gridCol w:w="2163"/>
        <w:gridCol w:w="1738"/>
        <w:gridCol w:w="944"/>
        <w:gridCol w:w="1136"/>
        <w:gridCol w:w="1588"/>
      </w:tblGrid>
      <w:tr>
        <w:tblPrEx>
          <w:shd w:val="clear" w:color="auto" w:fill="auto"/>
          <w:tblLayout w:type="fixed"/>
          <w:tblCellMar>
            <w:top w:w="0" w:type="dxa"/>
            <w:left w:w="0" w:type="dxa"/>
            <w:bottom w:w="0" w:type="dxa"/>
            <w:right w:w="0" w:type="dxa"/>
          </w:tblCellMar>
        </w:tblPrEx>
        <w:trPr>
          <w:trHeight w:val="450" w:hRule="atLeast"/>
        </w:trPr>
        <w:tc>
          <w:tcPr>
            <w:tcW w:w="8336"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8"/>
                <w:szCs w:val="28"/>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8"/>
                <w:szCs w:val="28"/>
                <w:highlight w:val="none"/>
                <w:u w:val="none"/>
                <w:lang w:val="en-US" w:eastAsia="zh-CN" w:bidi="ar"/>
                <w14:textFill>
                  <w14:solidFill>
                    <w14:schemeClr w14:val="tx1"/>
                  </w14:solidFill>
                </w14:textFill>
              </w:rPr>
              <w:t>勘察工程工程量表</w:t>
            </w:r>
          </w:p>
        </w:tc>
      </w:tr>
      <w:tr>
        <w:tblPrEx>
          <w:tblLayout w:type="fixed"/>
          <w:tblCellMar>
            <w:top w:w="0" w:type="dxa"/>
            <w:left w:w="0" w:type="dxa"/>
            <w:bottom w:w="0" w:type="dxa"/>
            <w:right w:w="0" w:type="dxa"/>
          </w:tblCellMar>
        </w:tblPrEx>
        <w:trPr>
          <w:trHeight w:val="439" w:hRule="atLeast"/>
        </w:trPr>
        <w:tc>
          <w:tcPr>
            <w:tcW w:w="767"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序号</w:t>
            </w:r>
          </w:p>
        </w:tc>
        <w:tc>
          <w:tcPr>
            <w:tcW w:w="3901"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类别/项目</w:t>
            </w:r>
          </w:p>
        </w:tc>
        <w:tc>
          <w:tcPr>
            <w:tcW w:w="944"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单位</w:t>
            </w:r>
          </w:p>
        </w:tc>
        <w:tc>
          <w:tcPr>
            <w:tcW w:w="1136"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数量</w:t>
            </w:r>
          </w:p>
        </w:tc>
        <w:tc>
          <w:tcPr>
            <w:tcW w:w="1588"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
                <w14:textFill>
                  <w14:solidFill>
                    <w14:schemeClr w14:val="tx1"/>
                  </w14:solidFill>
                </w14:textFill>
              </w:rPr>
              <w:t>备注</w:t>
            </w:r>
          </w:p>
        </w:tc>
      </w:tr>
      <w:tr>
        <w:tblPrEx>
          <w:tblLayout w:type="fixed"/>
          <w:tblCellMar>
            <w:top w:w="0" w:type="dxa"/>
            <w:left w:w="0" w:type="dxa"/>
            <w:bottom w:w="0" w:type="dxa"/>
            <w:right w:w="0" w:type="dxa"/>
          </w:tblCellMar>
        </w:tblPrEx>
        <w:trPr>
          <w:trHeight w:val="345"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(一)</w:t>
            </w:r>
          </w:p>
        </w:tc>
        <w:tc>
          <w:tcPr>
            <w:tcW w:w="3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测孔位</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组日</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4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
                <w14:textFill>
                  <w14:solidFill>
                    <w14:schemeClr w14:val="tx1"/>
                  </w14:solidFill>
                </w14:textFill>
              </w:rPr>
              <w:t>含复测</w:t>
            </w:r>
          </w:p>
        </w:tc>
      </w:tr>
      <w:tr>
        <w:tblPrEx>
          <w:tblLayout w:type="fixed"/>
          <w:tblCellMar>
            <w:top w:w="0" w:type="dxa"/>
            <w:left w:w="0" w:type="dxa"/>
            <w:bottom w:w="0" w:type="dxa"/>
            <w:right w:w="0" w:type="dxa"/>
          </w:tblCellMar>
        </w:tblPrEx>
        <w:trPr>
          <w:trHeight w:val="345"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(二)</w:t>
            </w:r>
          </w:p>
        </w:tc>
        <w:tc>
          <w:tcPr>
            <w:tcW w:w="3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工程地质测绘</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Km</w:t>
            </w:r>
            <w:r>
              <w:rPr>
                <w:rFonts w:hint="eastAsia" w:asciiTheme="minorEastAsia" w:hAnsiTheme="minorEastAsia" w:eastAsiaTheme="minorEastAsia" w:cstheme="minorEastAsia"/>
                <w:i w:val="0"/>
                <w:color w:val="000000" w:themeColor="text1"/>
                <w:kern w:val="0"/>
                <w:sz w:val="22"/>
                <w:szCs w:val="22"/>
                <w:highlight w:val="none"/>
                <w:u w:val="none"/>
                <w:vertAlign w:val="superscript"/>
                <w:lang w:val="en-US" w:eastAsia="zh-CN" w:bidi="ar"/>
                <w14:textFill>
                  <w14:solidFill>
                    <w14:schemeClr w14:val="tx1"/>
                  </w14:solidFill>
                </w14:textFill>
              </w:rPr>
              <w:t>2</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2.68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
                <w14:textFill>
                  <w14:solidFill>
                    <w14:schemeClr w14:val="tx1"/>
                  </w14:solidFill>
                </w14:textFill>
              </w:rPr>
              <w:t>1:1000</w:t>
            </w:r>
          </w:p>
        </w:tc>
      </w:tr>
      <w:tr>
        <w:tblPrEx>
          <w:tblLayout w:type="fixed"/>
          <w:tblCellMar>
            <w:top w:w="0" w:type="dxa"/>
            <w:left w:w="0" w:type="dxa"/>
            <w:bottom w:w="0" w:type="dxa"/>
            <w:right w:w="0" w:type="dxa"/>
          </w:tblCellMar>
        </w:tblPrEx>
        <w:trPr>
          <w:trHeight w:val="36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(三)</w:t>
            </w:r>
          </w:p>
        </w:tc>
        <w:tc>
          <w:tcPr>
            <w:tcW w:w="3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钻探</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米</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767" w:type="dxa"/>
            <w:vMerge w:val="restart"/>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1</w:t>
            </w:r>
          </w:p>
        </w:tc>
        <w:tc>
          <w:tcPr>
            <w:tcW w:w="21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0＜D≤10</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Ⅰ类地层</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米</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166.30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II类地层</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米</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443.10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Ⅲ类地层</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米</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239.90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Ⅳ类地层</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米</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150.80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767" w:type="dxa"/>
            <w:vMerge w:val="restart"/>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2</w:t>
            </w:r>
          </w:p>
        </w:tc>
        <w:tc>
          <w:tcPr>
            <w:tcW w:w="21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10＜D≤30</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Ⅰ类地层</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米</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12.80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II类地层</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米</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468.90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Ⅲ类地层</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米</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1208.60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Ⅳ类地层</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米</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309.70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vMerge w:val="restart"/>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3</w:t>
            </w:r>
          </w:p>
        </w:tc>
        <w:tc>
          <w:tcPr>
            <w:tcW w:w="21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30＜</w:t>
            </w:r>
            <w:r>
              <w:rPr>
                <w:rStyle w:val="147"/>
                <w:rFonts w:hint="eastAsia" w:asciiTheme="minorEastAsia" w:hAnsiTheme="minorEastAsia" w:eastAsiaTheme="minorEastAsia" w:cstheme="minorEastAsia"/>
                <w:color w:val="000000" w:themeColor="text1"/>
                <w:sz w:val="24"/>
                <w:szCs w:val="24"/>
                <w:highlight w:val="none"/>
                <w:lang w:val="en-US" w:eastAsia="zh-CN" w:bidi="ar"/>
                <w14:textFill>
                  <w14:solidFill>
                    <w14:schemeClr w14:val="tx1"/>
                  </w14:solidFill>
                </w14:textFill>
              </w:rPr>
              <w:t>D≤50</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Ⅰ类地层</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米</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0.00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II类地层</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米</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259.81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Ⅲ类地层</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米</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1096.83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Ⅳ类地层</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米</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13.66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vMerge w:val="restart"/>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4</w:t>
            </w:r>
          </w:p>
        </w:tc>
        <w:tc>
          <w:tcPr>
            <w:tcW w:w="216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50＜D≤80</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Ⅰ类地层</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米</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0.00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II类地层</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米</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0.66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Ⅲ类地层</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米</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77.54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Ⅳ类地层</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米</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0.00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(四)</w:t>
            </w:r>
          </w:p>
        </w:tc>
        <w:tc>
          <w:tcPr>
            <w:tcW w:w="3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取样</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4.1</w:t>
            </w:r>
          </w:p>
        </w:tc>
        <w:tc>
          <w:tcPr>
            <w:tcW w:w="21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锤击法厚壁取土器</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取样深度≤30m</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件</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119.00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取样深度＞30m</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件</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0.00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76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
                <w14:textFill>
                  <w14:solidFill>
                    <w14:schemeClr w14:val="tx1"/>
                  </w14:solidFill>
                </w14:textFill>
              </w:rPr>
              <w:t>探井取土（CBR试验样）</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件</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2.00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4.2</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扰动取土</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件</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58.00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4.3</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取岩芯样</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组</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102.00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4.4</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水样</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件</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4.00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(五)</w:t>
            </w:r>
          </w:p>
        </w:tc>
        <w:tc>
          <w:tcPr>
            <w:tcW w:w="3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原位测试</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5.1</w:t>
            </w:r>
          </w:p>
        </w:tc>
        <w:tc>
          <w:tcPr>
            <w:tcW w:w="21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标准贯入试验-Ⅱ类土</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D≤20m</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次</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95.00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20＜D≤50m</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次</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11.00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标准贯入试验-Ⅲ类土</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D≤20m</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次</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42.00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20＜D≤50m</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次</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0.00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767"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5.2</w:t>
            </w:r>
          </w:p>
        </w:tc>
        <w:tc>
          <w:tcPr>
            <w:tcW w:w="21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重型动力触探-Ⅲ类土      </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D≤10m</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m</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14.50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10＜D≤20m</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m</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6.40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20＜D≤30m</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m</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0.70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重型动力触探-Ⅳ类土</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D≤10m</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m</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18.10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10＜D≤20m</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m</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11.80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20＜D≤30m</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m</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5.50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5.3</w:t>
            </w:r>
          </w:p>
        </w:tc>
        <w:tc>
          <w:tcPr>
            <w:tcW w:w="21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旁压试验            压力≤2500kPa</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D≤10m</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点</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13.00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10＜D≤20m</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点</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3.00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D＞20m</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点</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3.00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旁压试验            压力＞2500kPa</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D≤10m</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点</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2.00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10＜D≤20m</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点</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13.00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D＞20m</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点</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28.00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767"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5.4</w:t>
            </w:r>
          </w:p>
        </w:tc>
        <w:tc>
          <w:tcPr>
            <w:tcW w:w="21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压水试验</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D≤20m</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段次</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767"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D＞20m</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段次</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4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(六)</w:t>
            </w:r>
          </w:p>
        </w:tc>
        <w:tc>
          <w:tcPr>
            <w:tcW w:w="3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土工试验</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
                <w14:textFill>
                  <w14:solidFill>
                    <w14:schemeClr w14:val="tx1"/>
                  </w14:solidFill>
                </w14:textFill>
              </w:rPr>
              <w:t>详见附表6</w:t>
            </w:r>
          </w:p>
        </w:tc>
      </w:tr>
      <w:tr>
        <w:tblPrEx>
          <w:shd w:val="clear" w:color="auto" w:fill="auto"/>
          <w:tblLayout w:type="fixed"/>
          <w:tblCellMar>
            <w:top w:w="0" w:type="dxa"/>
            <w:left w:w="0" w:type="dxa"/>
            <w:bottom w:w="0" w:type="dxa"/>
            <w:right w:w="0" w:type="dxa"/>
          </w:tblCellMar>
        </w:tblPrEx>
        <w:trPr>
          <w:trHeight w:val="36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6.1</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比重</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项</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64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6.2</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天然含水率</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项</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64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6.3</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密度</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环刀法</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项</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64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6.4</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液限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圆锥仪法</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项</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64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6.5</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塑限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项</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64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6.6</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压缩</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快速法</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项</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62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6.7</w:t>
            </w:r>
          </w:p>
        </w:tc>
        <w:tc>
          <w:tcPr>
            <w:tcW w:w="21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直接剪切</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快剪</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组</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35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6.8</w:t>
            </w:r>
          </w:p>
        </w:tc>
        <w:tc>
          <w:tcPr>
            <w:tcW w:w="2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固结快剪</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组</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14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6.9</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渗透系数</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
                <w14:textFill>
                  <w14:solidFill>
                    <w14:schemeClr w14:val="tx1"/>
                  </w14:solidFill>
                </w14:textFill>
              </w:rPr>
              <w:t>粘土类、粉土类</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项</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12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6.10 </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颗粒分析</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密度计法</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项</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33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(七)</w:t>
            </w:r>
          </w:p>
        </w:tc>
        <w:tc>
          <w:tcPr>
            <w:tcW w:w="3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岩石物理力学试验</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
                <w14:textFill>
                  <w14:solidFill>
                    <w14:schemeClr w14:val="tx1"/>
                  </w14:solidFill>
                </w14:textFill>
              </w:rPr>
              <w:t>详见附表7</w:t>
            </w:r>
          </w:p>
        </w:tc>
      </w:tr>
      <w:tr>
        <w:tblPrEx>
          <w:shd w:val="clear" w:color="auto" w:fill="auto"/>
          <w:tblLayout w:type="fixed"/>
          <w:tblCellMar>
            <w:top w:w="0" w:type="dxa"/>
            <w:left w:w="0" w:type="dxa"/>
            <w:bottom w:w="0" w:type="dxa"/>
            <w:right w:w="0" w:type="dxa"/>
          </w:tblCellMar>
        </w:tblPrEx>
        <w:trPr>
          <w:trHeight w:val="51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7.1 </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块体密度</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highlight w:val="none"/>
                <w:u w:val="none"/>
                <w:lang w:val="en-US" w:eastAsia="zh-CN" w:bidi="ar"/>
                <w14:textFill>
                  <w14:solidFill>
                    <w14:schemeClr w14:val="tx1"/>
                  </w14:solidFill>
                </w14:textFill>
              </w:rPr>
              <w:t>一组三块,3块*20组</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块</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24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51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7.2 </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颗粒密度</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比重瓶法</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组</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30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51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7.3 </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吸水率</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组</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7.4 </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饱和吸水率</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组</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30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7.5 </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抗压强度(天然)</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组</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73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7.6 </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抗压强度(饱和)</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组</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23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7.7 </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抗压强度(干)</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组</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23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62"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7.8 </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直剪</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组</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23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7.9 </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
                <w14:textFill>
                  <w14:solidFill>
                    <w14:schemeClr w14:val="tx1"/>
                  </w14:solidFill>
                </w14:textFill>
              </w:rPr>
              <w:t>弹性模量-单轴压缩变形</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
                <w14:textFill>
                  <w14:solidFill>
                    <w14:schemeClr w14:val="tx1"/>
                  </w14:solidFill>
                </w14:textFill>
              </w:rPr>
              <w:t>饱和</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组</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21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7.10 </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抗拉强度</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组</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26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75"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7.11 </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岩矿鉴定</w:t>
            </w:r>
          </w:p>
        </w:tc>
        <w:tc>
          <w:tcPr>
            <w:tcW w:w="17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件</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75"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(八)</w:t>
            </w:r>
          </w:p>
        </w:tc>
        <w:tc>
          <w:tcPr>
            <w:tcW w:w="3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一般水质全分析</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件</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4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(九)</w:t>
            </w:r>
          </w:p>
        </w:tc>
        <w:tc>
          <w:tcPr>
            <w:tcW w:w="3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工程物探</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9.1</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波速测试</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单孔法</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m</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711.19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
                <w14:textFill>
                  <w14:solidFill>
                    <w14:schemeClr w14:val="tx1"/>
                  </w14:solidFill>
                </w14:textFill>
              </w:rPr>
              <w:t>详见附表4</w:t>
            </w:r>
          </w:p>
        </w:tc>
      </w:tr>
      <w:tr>
        <w:tblPrEx>
          <w:shd w:val="clear" w:color="auto" w:fill="auto"/>
          <w:tblLayout w:type="fixed"/>
          <w:tblCellMar>
            <w:top w:w="0" w:type="dxa"/>
            <w:left w:w="0" w:type="dxa"/>
            <w:bottom w:w="0" w:type="dxa"/>
            <w:right w:w="0" w:type="dxa"/>
          </w:tblCellMar>
        </w:tblPrEx>
        <w:trPr>
          <w:trHeight w:val="36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9.2</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电法勘探-电测深</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
                <w14:textFill>
                  <w14:solidFill>
                    <w14:schemeClr w14:val="tx1"/>
                  </w14:solidFill>
                </w14:textFill>
              </w:rPr>
              <w:t>大地导电率测量</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点</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5.00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9.3</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电阻井</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视电阻率测井</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m</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632.39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9.4</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井温测量</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孔内温度测量</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m</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128.00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(十)</w:t>
            </w:r>
          </w:p>
        </w:tc>
        <w:tc>
          <w:tcPr>
            <w:tcW w:w="390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抽水试验</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75"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10.1</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成孔费</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5.4</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米</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119.33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
                <w14:textFill>
                  <w14:solidFill>
                    <w14:schemeClr w14:val="tx1"/>
                  </w14:solidFill>
                </w14:textFill>
              </w:rPr>
              <w:t>详见附表5</w:t>
            </w:r>
          </w:p>
        </w:tc>
      </w:tr>
      <w:tr>
        <w:tblPrEx>
          <w:shd w:val="clear" w:color="auto" w:fill="auto"/>
          <w:tblLayout w:type="fixed"/>
          <w:tblCellMar>
            <w:top w:w="0" w:type="dxa"/>
            <w:left w:w="0" w:type="dxa"/>
            <w:bottom w:w="0" w:type="dxa"/>
            <w:right w:w="0" w:type="dxa"/>
          </w:tblCellMar>
        </w:tblPrEx>
        <w:trPr>
          <w:trHeight w:val="36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10.2</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地下水位观测</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L≤5m</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次</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203.00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20" w:hRule="atLeast"/>
        </w:trPr>
        <w:tc>
          <w:tcPr>
            <w:tcW w:w="767"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10.3</w:t>
            </w:r>
          </w:p>
        </w:tc>
        <w:tc>
          <w:tcPr>
            <w:tcW w:w="21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抽水试验费</w:t>
            </w:r>
          </w:p>
        </w:tc>
        <w:tc>
          <w:tcPr>
            <w:tcW w:w="1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5.5</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台班</w:t>
            </w:r>
          </w:p>
        </w:tc>
        <w:tc>
          <w:tcPr>
            <w:tcW w:w="1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9.00 </w:t>
            </w:r>
          </w:p>
        </w:tc>
        <w:tc>
          <w:tcPr>
            <w:tcW w:w="1588"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r>
    </w:tbl>
    <w:p>
      <w:pPr>
        <w:numPr>
          <w:ilvl w:val="0"/>
          <w:numId w:val="0"/>
        </w:num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br w:type="textWrapping"/>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br w:type="page"/>
      </w:r>
    </w:p>
    <w:p>
      <w:pPr>
        <w:numPr>
          <w:ilvl w:val="0"/>
          <w:numId w:val="0"/>
        </w:num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结算</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费用计算如下表：</w:t>
      </w:r>
    </w:p>
    <w:tbl>
      <w:tblPr>
        <w:tblStyle w:val="11"/>
        <w:tblW w:w="8336" w:type="dxa"/>
        <w:tblInd w:w="0" w:type="dxa"/>
        <w:shd w:val="clear" w:color="auto" w:fill="auto"/>
        <w:tblLayout w:type="fixed"/>
        <w:tblCellMar>
          <w:top w:w="0" w:type="dxa"/>
          <w:left w:w="0" w:type="dxa"/>
          <w:bottom w:w="0" w:type="dxa"/>
          <w:right w:w="0" w:type="dxa"/>
        </w:tblCellMar>
      </w:tblPr>
      <w:tblGrid>
        <w:gridCol w:w="914"/>
        <w:gridCol w:w="1362"/>
        <w:gridCol w:w="1130"/>
        <w:gridCol w:w="443"/>
        <w:gridCol w:w="800"/>
        <w:gridCol w:w="768"/>
        <w:gridCol w:w="800"/>
        <w:gridCol w:w="1139"/>
        <w:gridCol w:w="980"/>
      </w:tblGrid>
      <w:tr>
        <w:tblPrEx>
          <w:shd w:val="clear" w:color="auto" w:fill="auto"/>
          <w:tblLayout w:type="fixed"/>
          <w:tblCellMar>
            <w:top w:w="0" w:type="dxa"/>
            <w:left w:w="0" w:type="dxa"/>
            <w:bottom w:w="0" w:type="dxa"/>
            <w:right w:w="0" w:type="dxa"/>
          </w:tblCellMar>
        </w:tblPrEx>
        <w:trPr>
          <w:trHeight w:val="640" w:hRule="atLeast"/>
        </w:trPr>
        <w:tc>
          <w:tcPr>
            <w:tcW w:w="8336" w:type="dxa"/>
            <w:gridSpan w:val="9"/>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themeColor="text1"/>
                <w:sz w:val="28"/>
                <w:szCs w:val="28"/>
                <w:highlight w:val="none"/>
                <w:u w:val="none"/>
                <w14:textFill>
                  <w14:solidFill>
                    <w14:schemeClr w14:val="tx1"/>
                  </w14:solidFill>
                </w14:textFill>
              </w:rPr>
            </w:pPr>
            <w:r>
              <w:rPr>
                <w:rFonts w:hint="eastAsia" w:ascii="黑体" w:hAnsi="宋体" w:eastAsia="黑体" w:cs="黑体"/>
                <w:i w:val="0"/>
                <w:color w:val="000000" w:themeColor="text1"/>
                <w:kern w:val="0"/>
                <w:sz w:val="28"/>
                <w:szCs w:val="28"/>
                <w:highlight w:val="none"/>
                <w:u w:val="none"/>
                <w:lang w:val="en-US" w:eastAsia="zh-CN" w:bidi="ar"/>
                <w14:textFill>
                  <w14:solidFill>
                    <w14:schemeClr w14:val="tx1"/>
                  </w14:solidFill>
                </w14:textFill>
              </w:rPr>
              <w:t>勘察工程计费表</w:t>
            </w:r>
          </w:p>
        </w:tc>
      </w:tr>
      <w:tr>
        <w:tblPrEx>
          <w:shd w:val="clear" w:color="auto" w:fill="auto"/>
          <w:tblLayout w:type="fixed"/>
          <w:tblCellMar>
            <w:top w:w="0" w:type="dxa"/>
            <w:left w:w="0" w:type="dxa"/>
            <w:bottom w:w="0" w:type="dxa"/>
            <w:right w:w="0" w:type="dxa"/>
          </w:tblCellMar>
        </w:tblPrEx>
        <w:trPr>
          <w:trHeight w:val="439" w:hRule="atLeast"/>
        </w:trPr>
        <w:tc>
          <w:tcPr>
            <w:tcW w:w="914"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序号</w:t>
            </w:r>
          </w:p>
        </w:tc>
        <w:tc>
          <w:tcPr>
            <w:tcW w:w="2492" w:type="dxa"/>
            <w:gridSpan w:val="2"/>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类别/项目</w:t>
            </w:r>
          </w:p>
        </w:tc>
        <w:tc>
          <w:tcPr>
            <w:tcW w:w="443"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单位</w:t>
            </w:r>
          </w:p>
        </w:tc>
        <w:tc>
          <w:tcPr>
            <w:tcW w:w="80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数量</w:t>
            </w:r>
          </w:p>
        </w:tc>
        <w:tc>
          <w:tcPr>
            <w:tcW w:w="768" w:type="dxa"/>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附加调整系数</w:t>
            </w:r>
          </w:p>
        </w:tc>
        <w:tc>
          <w:tcPr>
            <w:tcW w:w="800" w:type="dxa"/>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单价（元）</w:t>
            </w:r>
          </w:p>
        </w:tc>
        <w:tc>
          <w:tcPr>
            <w:tcW w:w="1139" w:type="dxa"/>
            <w:tcBorders>
              <w:top w:val="single" w:color="000000" w:sz="8"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合价（元）</w:t>
            </w:r>
          </w:p>
        </w:tc>
        <w:tc>
          <w:tcPr>
            <w:tcW w:w="980"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备注</w:t>
            </w:r>
          </w:p>
        </w:tc>
      </w:tr>
      <w:tr>
        <w:tblPrEx>
          <w:tblLayout w:type="fixed"/>
          <w:tblCellMar>
            <w:top w:w="0" w:type="dxa"/>
            <w:left w:w="0" w:type="dxa"/>
            <w:bottom w:w="0" w:type="dxa"/>
            <w:right w:w="0" w:type="dxa"/>
          </w:tblCellMar>
        </w:tblPrEx>
        <w:trPr>
          <w:trHeight w:val="345" w:hRule="atLeast"/>
        </w:trPr>
        <w:tc>
          <w:tcPr>
            <w:tcW w:w="914"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(一)</w:t>
            </w:r>
          </w:p>
        </w:tc>
        <w:tc>
          <w:tcPr>
            <w:tcW w:w="2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测孔位</w:t>
            </w: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br w:type="textWrapping"/>
            </w: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2.6</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组日</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 </w:t>
            </w:r>
          </w:p>
        </w:tc>
        <w:tc>
          <w:tcPr>
            <w:tcW w:w="768"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600.00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 xml:space="preserve">2100.00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含复测</w:t>
            </w:r>
          </w:p>
        </w:tc>
      </w:tr>
      <w:tr>
        <w:tblPrEx>
          <w:shd w:val="clear" w:color="auto" w:fill="auto"/>
          <w:tblLayout w:type="fixed"/>
          <w:tblCellMar>
            <w:top w:w="0" w:type="dxa"/>
            <w:left w:w="0" w:type="dxa"/>
            <w:bottom w:w="0" w:type="dxa"/>
            <w:right w:w="0" w:type="dxa"/>
          </w:tblCellMar>
        </w:tblPrEx>
        <w:trPr>
          <w:trHeight w:val="345" w:hRule="atLeast"/>
        </w:trPr>
        <w:tc>
          <w:tcPr>
            <w:tcW w:w="914"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2"/>
                <w:szCs w:val="22"/>
                <w:highlight w:val="none"/>
                <w:u w:val="none"/>
                <w14:textFill>
                  <w14:solidFill>
                    <w14:schemeClr w14:val="tx1"/>
                  </w14:solidFill>
                </w14:textFill>
              </w:rPr>
            </w:pPr>
          </w:p>
        </w:tc>
        <w:tc>
          <w:tcPr>
            <w:tcW w:w="2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测量技术工作费</w:t>
            </w:r>
          </w:p>
        </w:tc>
        <w:tc>
          <w:tcPr>
            <w:tcW w:w="2811"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费率120%</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 xml:space="preserve">2520.00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45"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(二)</w:t>
            </w:r>
          </w:p>
        </w:tc>
        <w:tc>
          <w:tcPr>
            <w:tcW w:w="2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工程地质测绘</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Km</w:t>
            </w:r>
            <w:r>
              <w:rPr>
                <w:rFonts w:hint="eastAsia" w:ascii="宋体" w:hAnsi="宋体" w:eastAsia="宋体" w:cs="宋体"/>
                <w:i w:val="0"/>
                <w:color w:val="000000" w:themeColor="text1"/>
                <w:kern w:val="0"/>
                <w:sz w:val="22"/>
                <w:szCs w:val="22"/>
                <w:highlight w:val="none"/>
                <w:u w:val="none"/>
                <w:vertAlign w:val="superscript"/>
                <w:lang w:val="en-US" w:eastAsia="zh-CN" w:bidi="ar"/>
                <w14:textFill>
                  <w14:solidFill>
                    <w14:schemeClr w14:val="tx1"/>
                  </w14:solidFill>
                </w14:textFill>
              </w:rPr>
              <w:t>2</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2.68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4590.00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 xml:space="preserve">15991.56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1:1000</w:t>
            </w:r>
          </w:p>
        </w:tc>
      </w:tr>
      <w:tr>
        <w:tblPrEx>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(三)</w:t>
            </w:r>
          </w:p>
        </w:tc>
        <w:tc>
          <w:tcPr>
            <w:tcW w:w="2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钻探</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4448.60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 xml:space="preserve">563022.20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vMerge w:val="restart"/>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1</w:t>
            </w:r>
          </w:p>
        </w:tc>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0＜D≤10</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Ⅰ类地层</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166.30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1.8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52.00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15565.68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II类地层</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443.10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1.8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52.00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41474.16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Ⅲ类地层</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239.90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1.8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52.00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22454.64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Ⅳ类地层</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150.80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1.8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134.00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36372.96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914" w:type="dxa"/>
            <w:vMerge w:val="restart"/>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2</w:t>
            </w:r>
          </w:p>
        </w:tc>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10＜D≤30</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Ⅰ类地层</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12.80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1.8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64.00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1474.56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II类地层</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468.90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1.8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64.00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54017.28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Ⅲ类地层</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1208.60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64.00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100555.52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Ⅳ类地层</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309.70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1.8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185.00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103130.10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914" w:type="dxa"/>
            <w:vMerge w:val="restart"/>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3</w:t>
            </w:r>
          </w:p>
        </w:tc>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30＜</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D≤50</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Ⅰ类地层</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0.00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1.8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90.00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0.00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II类地层</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259.81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1.8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90.00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42089.22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Ⅲ类地层</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1096.83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90.00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128329.11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Ⅳ类地层</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13.66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1.8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262.00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6442.06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vMerge w:val="restart"/>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4</w:t>
            </w:r>
          </w:p>
        </w:tc>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50＜D≤80</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Ⅰ类地层</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0.00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1.8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109.00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0.00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II类地层</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0.66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1.8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109.00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129.49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Ⅲ类地层</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77.54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109.00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10987.42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Ⅳ类地层</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0.00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1.8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319.00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0.00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(四)</w:t>
            </w:r>
          </w:p>
        </w:tc>
        <w:tc>
          <w:tcPr>
            <w:tcW w:w="2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取样</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 xml:space="preserve">6661.20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4.1</w:t>
            </w:r>
          </w:p>
        </w:tc>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锤击法厚壁取土器</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取样深度≤30m</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件</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119.00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24.00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3712.80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取样深度＞30m</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件</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0.00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30.00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0.00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20" w:hRule="atLeast"/>
        </w:trPr>
        <w:tc>
          <w:tcPr>
            <w:tcW w:w="914"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探井取土（CBR试验样）</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件</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2.00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60.00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156.00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2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4.2</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扰动取土</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件</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58.00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9.00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678.60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4.3</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取岩芯样</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组</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102.00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15.00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1989.00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4.4</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水样</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件</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4.00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24.00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124.80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(五)</w:t>
            </w:r>
          </w:p>
        </w:tc>
        <w:tc>
          <w:tcPr>
            <w:tcW w:w="2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原位测试</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 xml:space="preserve">143107.78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914"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5.1</w:t>
            </w:r>
          </w:p>
        </w:tc>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标准贯入试验-Ⅱ类土</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D≤20m</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95.00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67.00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8274.50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20＜D≤50m</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11.00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100.00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1430.00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标准贯入试验-Ⅲ类土</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D≤20m</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42.00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67.00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3658.20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20＜D≤50m</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0.00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100.00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0.00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914"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5.2</w:t>
            </w:r>
          </w:p>
        </w:tc>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重型动力触探-Ⅲ类土      </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D≤10m</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m</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14.50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52.00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980.20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10＜D≤20m</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m</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6.40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64.00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532.48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20＜D≤30m</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m</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0.70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76.00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69.16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重型动力触探-Ⅳ类土</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D≤10m</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m</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18.10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180.00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4235.40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10＜D≤20m</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m</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11.80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225.00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3451.50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20＜D≤30m</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m</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5.50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270.00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1930.50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5.3</w:t>
            </w:r>
          </w:p>
        </w:tc>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旁压试验            压力≤2500kPa</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D≤10m</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13.00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157.80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2666.82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10＜D≤20m</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3.00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205.20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800.28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D＞20m</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3.00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266.40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1038.96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旁压试验            压力＞2500kPa</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D≤10m</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2.00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210.60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547.56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10＜D≤20m</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13.00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273.60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4623.84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D＞20m</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28.00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355.80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12951.12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914"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5.4</w:t>
            </w:r>
          </w:p>
        </w:tc>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压水试验</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D≤20m</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段次</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1051.80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1367.34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914"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D＞20m</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段次</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 </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1262.40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6564.48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5.5</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波速测试</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单孔法</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m</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711.19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1）</w:t>
            </w:r>
          </w:p>
        </w:tc>
        <w:tc>
          <w:tcPr>
            <w:tcW w:w="2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D≤15m</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m</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240.00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1.2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81.00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23328.00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2）</w:t>
            </w:r>
          </w:p>
        </w:tc>
        <w:tc>
          <w:tcPr>
            <w:tcW w:w="2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15＜D≤30m</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m</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240.00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1.2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97.20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27993.60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3）</w:t>
            </w:r>
          </w:p>
        </w:tc>
        <w:tc>
          <w:tcPr>
            <w:tcW w:w="2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30＜D≤50m</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m</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215.99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1.2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129.60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33590.76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4）</w:t>
            </w:r>
          </w:p>
        </w:tc>
        <w:tc>
          <w:tcPr>
            <w:tcW w:w="2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＞50</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m</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15.20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1.2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168.48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3073.08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(六)</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土工试验</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2"/>
                <w:szCs w:val="22"/>
                <w:highlight w:val="none"/>
                <w:u w:val="none"/>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 xml:space="preserve">7551.60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6.1</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比重</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项</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64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11.40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729.60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6.2</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天然含水率</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项</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64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4.80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307.20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6.3</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密度</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环刀法</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项</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64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4.80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307.20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6.4</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液限</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圆锥仪法</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项</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64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9.00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576.00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6.5</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塑限</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项</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64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18.00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1152.00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6.6</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压缩</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快速法</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项</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62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24.00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1488.00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6.7</w:t>
            </w:r>
          </w:p>
        </w:tc>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直接剪切</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快剪</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组</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35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29.40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1029.00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6.8</w:t>
            </w: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固结快剪</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组</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14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42.60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596.40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6.9</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渗透系数</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粘土类、粉土类</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项</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12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33.00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396.00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 xml:space="preserve">6.10 </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颗粒分析</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密度计法</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项</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33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29.40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970.20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(七)</w:t>
            </w:r>
          </w:p>
        </w:tc>
        <w:tc>
          <w:tcPr>
            <w:tcW w:w="2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岩石物理力学试验</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 xml:space="preserve">17174.40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 xml:space="preserve">7.1 </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块体密度</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一组三块,3块*20组</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块</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24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8.40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201.60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51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 xml:space="preserve">7.2 </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颗粒密度</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比重瓶法</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组</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28.20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846.00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 xml:space="preserve">7.3 </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吸水率</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组</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28.20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282.00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51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 xml:space="preserve">7.4 </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饱和吸水率</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组</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70.20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2106.00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 xml:space="preserve">7.5 </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抗压强度(天然)</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组</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73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28.20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2058.60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 xml:space="preserve">7.6 </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抗压强度(饱和)</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组</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23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42.00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966.00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51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 xml:space="preserve">7.7 </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抗压强度(干)</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组</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23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111.00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2553.00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62"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 xml:space="preserve">7.8 </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直剪</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组</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23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161.40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3712.20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51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 xml:space="preserve">7.9 </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弹性模量-单轴压缩变形</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饱和</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组</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21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139.80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2935.80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51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 xml:space="preserve">7.10 </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抗拉强度</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组</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26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55.80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1450.80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8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 xml:space="preserve">7.11 </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岩矿鉴定</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件</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31.20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62.40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75"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(八)</w:t>
            </w:r>
          </w:p>
        </w:tc>
        <w:tc>
          <w:tcPr>
            <w:tcW w:w="2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一般水质全分析</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件</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132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 xml:space="preserve">528.00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(九)</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工程物探</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b/>
                <w:i w:val="0"/>
                <w:color w:val="000000" w:themeColor="text1"/>
                <w:kern w:val="0"/>
                <w:sz w:val="22"/>
                <w:szCs w:val="22"/>
                <w:highlight w:val="none"/>
                <w:u w:val="none"/>
                <w:lang w:val="en-US" w:eastAsia="zh-CN" w:bidi="ar"/>
                <w14:textFill>
                  <w14:solidFill>
                    <w14:schemeClr w14:val="tx1"/>
                  </w14:solidFill>
                </w14:textFill>
              </w:rPr>
              <w:t>7.2-1</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 xml:space="preserve">19620.79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9.1</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电法勘探-电测深</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大地导电率测量</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5.00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1.2 </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720.00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4320.00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9.2</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电阻井</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视电阻率测井</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m</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632.39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1.2 </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13.80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10472.38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9.3</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井温测量</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孔内温度测量</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m</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128.00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1.2 </w:t>
            </w:r>
          </w:p>
        </w:tc>
        <w:tc>
          <w:tcPr>
            <w:tcW w:w="8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8.40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1290.24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9.4</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物探技术工作费</w:t>
            </w:r>
          </w:p>
        </w:tc>
        <w:tc>
          <w:tcPr>
            <w:tcW w:w="3141"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费率22%</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3538.18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(十)</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抽水试验</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2"/>
                <w:szCs w:val="22"/>
                <w:highlight w:val="none"/>
                <w:u w:val="none"/>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 xml:space="preserve">53032.39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75"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10.1</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成孔费</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75" w:hRule="atLeast"/>
        </w:trPr>
        <w:tc>
          <w:tcPr>
            <w:tcW w:w="914"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1）</w:t>
            </w:r>
          </w:p>
        </w:tc>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松散地层</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Ⅰ类土</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14.90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1.08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130.00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2091.96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75" w:hRule="atLeast"/>
        </w:trPr>
        <w:tc>
          <w:tcPr>
            <w:tcW w:w="914"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Ⅱ类土</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0.00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1.62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130.00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0.00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75" w:hRule="atLeast"/>
        </w:trPr>
        <w:tc>
          <w:tcPr>
            <w:tcW w:w="914"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Ⅲ类土</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23.10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1.94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130.00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5837.83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75" w:hRule="atLeast"/>
        </w:trPr>
        <w:tc>
          <w:tcPr>
            <w:tcW w:w="914"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Ⅳ类土</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26.80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2.70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130.00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9406.80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75" w:hRule="atLeast"/>
        </w:trPr>
        <w:tc>
          <w:tcPr>
            <w:tcW w:w="914"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2）</w:t>
            </w:r>
          </w:p>
        </w:tc>
        <w:tc>
          <w:tcPr>
            <w:tcW w:w="13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岩石地层</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Ⅰ类岩</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21.87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1.94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130.00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5526.99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75" w:hRule="atLeast"/>
        </w:trPr>
        <w:tc>
          <w:tcPr>
            <w:tcW w:w="914"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3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Ⅱ类岩</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米</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32.66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2.81 </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130.00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11922.21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10.2</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地下水位观测</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L≤5m</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203.00 </w:t>
            </w:r>
          </w:p>
        </w:tc>
        <w:tc>
          <w:tcPr>
            <w:tcW w:w="76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12.00 </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2436.00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20"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10.3</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抽水试验费</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5.5</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台班</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9.00 </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504.00 </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4536.00 </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20"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10.4</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抽水试验技术工作费</w:t>
            </w:r>
          </w:p>
        </w:tc>
        <w:tc>
          <w:tcPr>
            <w:tcW w:w="394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费率27%</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11274.60 </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(十一)</w:t>
            </w:r>
          </w:p>
        </w:tc>
        <w:tc>
          <w:tcPr>
            <w:tcW w:w="2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岩土工程勘察技术工作费</w:t>
            </w:r>
          </w:p>
        </w:tc>
        <w:tc>
          <w:tcPr>
            <w:tcW w:w="2811"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∑[(二)+...+(八)]×费率120%</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 xml:space="preserve">904844.08 </w:t>
            </w:r>
          </w:p>
        </w:tc>
        <w:tc>
          <w:tcPr>
            <w:tcW w:w="98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(十二)</w:t>
            </w:r>
          </w:p>
        </w:tc>
        <w:tc>
          <w:tcPr>
            <w:tcW w:w="2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利用孔技术工作费费</w:t>
            </w:r>
          </w:p>
        </w:tc>
        <w:tc>
          <w:tcPr>
            <w:tcW w:w="2811" w:type="dxa"/>
            <w:gridSpan w:val="4"/>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（242880+6800+13000）*40%</w:t>
            </w:r>
          </w:p>
        </w:tc>
        <w:tc>
          <w:tcPr>
            <w:tcW w:w="1139"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 xml:space="preserve">105072.00 </w:t>
            </w:r>
          </w:p>
        </w:tc>
        <w:tc>
          <w:tcPr>
            <w:tcW w:w="98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(十三)</w:t>
            </w:r>
          </w:p>
        </w:tc>
        <w:tc>
          <w:tcPr>
            <w:tcW w:w="2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勘察费合计</w:t>
            </w:r>
          </w:p>
        </w:tc>
        <w:tc>
          <w:tcPr>
            <w:tcW w:w="281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∑[(一)+...+(十一)]</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 xml:space="preserve">1841226.00 </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(十四)</w:t>
            </w:r>
          </w:p>
        </w:tc>
        <w:tc>
          <w:tcPr>
            <w:tcW w:w="2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其他费</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2"/>
                <w:szCs w:val="22"/>
                <w:highlight w:val="none"/>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2"/>
                <w:szCs w:val="22"/>
                <w:highlight w:val="none"/>
                <w:u w:val="none"/>
                <w14:textFill>
                  <w14:solidFill>
                    <w14:schemeClr w14:val="tx1"/>
                  </w14:solidFill>
                </w14:textFill>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2"/>
                <w:szCs w:val="22"/>
                <w:highlight w:val="none"/>
                <w:u w:val="none"/>
                <w14:textFill>
                  <w14:solidFill>
                    <w14:schemeClr w14:val="tx1"/>
                  </w14:solidFill>
                </w14:textFill>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2"/>
                <w:szCs w:val="22"/>
                <w:highlight w:val="none"/>
                <w:u w:val="none"/>
                <w14:textFill>
                  <w14:solidFill>
                    <w14:schemeClr w14:val="tx1"/>
                  </w14:solidFill>
                </w14:textFill>
              </w:rPr>
            </w:pP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 xml:space="preserve">115288.80 </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540"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14.1</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文明施工、围档运输、搭建</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孔</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105</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500.00 </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52500.00 </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14.2</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钻孔封孔材料费</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8元/m</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m</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4448.6</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8.00 </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35588.80 </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540"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14.3</w:t>
            </w:r>
          </w:p>
        </w:tc>
        <w:tc>
          <w:tcPr>
            <w:tcW w:w="13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勘察作业大型机具搬运费</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20台钻机</w:t>
            </w:r>
          </w:p>
        </w:tc>
        <w:tc>
          <w:tcPr>
            <w:tcW w:w="4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台班</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20</w:t>
            </w:r>
          </w:p>
        </w:tc>
        <w:tc>
          <w:tcPr>
            <w:tcW w:w="7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1360.00 </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27200.00 </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00"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（十五）</w:t>
            </w:r>
          </w:p>
        </w:tc>
        <w:tc>
          <w:tcPr>
            <w:tcW w:w="2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费用总计</w:t>
            </w:r>
          </w:p>
        </w:tc>
        <w:tc>
          <w:tcPr>
            <w:tcW w:w="281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（十二）+（十三）</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 xml:space="preserve">1956514.80 </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00"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（十六）</w:t>
            </w:r>
          </w:p>
        </w:tc>
        <w:tc>
          <w:tcPr>
            <w:tcW w:w="2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优惠金额</w:t>
            </w:r>
          </w:p>
        </w:tc>
        <w:tc>
          <w:tcPr>
            <w:tcW w:w="281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优惠率：-5%</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 xml:space="preserve">-97825.74 </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00" w:hRule="atLeast"/>
        </w:trPr>
        <w:tc>
          <w:tcPr>
            <w:tcW w:w="9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2"/>
                <w:szCs w:val="22"/>
                <w:highlight w:val="none"/>
                <w:u w:val="none"/>
                <w14:textFill>
                  <w14:solidFill>
                    <w14:schemeClr w14:val="tx1"/>
                  </w14:solidFill>
                </w14:textFill>
              </w:rPr>
            </w:pPr>
          </w:p>
        </w:tc>
        <w:tc>
          <w:tcPr>
            <w:tcW w:w="249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优惠后合计</w:t>
            </w:r>
          </w:p>
        </w:tc>
        <w:tc>
          <w:tcPr>
            <w:tcW w:w="281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（十四）+（十五）</w:t>
            </w:r>
          </w:p>
        </w:tc>
        <w:tc>
          <w:tcPr>
            <w:tcW w:w="11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 xml:space="preserve">1858689.06 </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bl>
    <w:p>
      <w:pPr>
        <w:numPr>
          <w:ilvl w:val="0"/>
          <w:numId w:val="0"/>
        </w:num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br w:type="page"/>
      </w:r>
    </w:p>
    <w:p>
      <w:pPr>
        <w:numPr>
          <w:ilvl w:val="0"/>
          <w:numId w:val="0"/>
        </w:num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8"/>
          <w:szCs w:val="28"/>
          <w:highlight w:val="none"/>
          <w:lang w:val="en-US" w:eastAsia="zh-CN"/>
          <w14:textFill>
            <w14:solidFill>
              <w14:schemeClr w14:val="tx1"/>
            </w14:solidFill>
          </w14:textFill>
        </w:rPr>
        <w:t>案例三：</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某道路工程，勘察等级为乙级，通过政府招投标程序确定为某勘察单位实施，勘察内容如下表所示：</w:t>
      </w:r>
    </w:p>
    <w:tbl>
      <w:tblPr>
        <w:tblStyle w:val="11"/>
        <w:tblW w:w="8336" w:type="dxa"/>
        <w:tblInd w:w="0" w:type="dxa"/>
        <w:shd w:val="clear" w:color="auto" w:fill="auto"/>
        <w:tblLayout w:type="fixed"/>
        <w:tblCellMar>
          <w:top w:w="0" w:type="dxa"/>
          <w:left w:w="0" w:type="dxa"/>
          <w:bottom w:w="0" w:type="dxa"/>
          <w:right w:w="0" w:type="dxa"/>
        </w:tblCellMar>
      </w:tblPr>
      <w:tblGrid>
        <w:gridCol w:w="1385"/>
        <w:gridCol w:w="4168"/>
        <w:gridCol w:w="1390"/>
        <w:gridCol w:w="1393"/>
      </w:tblGrid>
      <w:tr>
        <w:tblPrEx>
          <w:tblLayout w:type="fixed"/>
          <w:tblCellMar>
            <w:top w:w="0" w:type="dxa"/>
            <w:left w:w="0" w:type="dxa"/>
            <w:bottom w:w="0" w:type="dxa"/>
            <w:right w:w="0" w:type="dxa"/>
          </w:tblCellMar>
        </w:tblPrEx>
        <w:trPr>
          <w:trHeight w:val="642" w:hRule="atLeast"/>
        </w:trPr>
        <w:tc>
          <w:tcPr>
            <w:tcW w:w="8336"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36"/>
                <w:szCs w:val="36"/>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36"/>
                <w:szCs w:val="36"/>
                <w:highlight w:val="none"/>
                <w:u w:val="none"/>
                <w:lang w:val="en-US" w:eastAsia="zh-CN" w:bidi="ar"/>
                <w14:textFill>
                  <w14:solidFill>
                    <w14:schemeClr w14:val="tx1"/>
                  </w14:solidFill>
                </w14:textFill>
              </w:rPr>
              <w:t>勘察工程工程量表</w:t>
            </w:r>
          </w:p>
        </w:tc>
      </w:tr>
      <w:tr>
        <w:tblPrEx>
          <w:tblLayout w:type="fixed"/>
          <w:tblCellMar>
            <w:top w:w="0" w:type="dxa"/>
            <w:left w:w="0" w:type="dxa"/>
            <w:bottom w:w="0" w:type="dxa"/>
            <w:right w:w="0" w:type="dxa"/>
          </w:tblCellMar>
        </w:tblPrEx>
        <w:trPr>
          <w:trHeight w:val="559"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序  号</w:t>
            </w: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工 作 项 目</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单 位</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数  量</w:t>
            </w:r>
          </w:p>
        </w:tc>
      </w:tr>
      <w:tr>
        <w:tblPrEx>
          <w:shd w:val="clear" w:color="auto" w:fill="auto"/>
          <w:tblLayout w:type="fixed"/>
          <w:tblCellMar>
            <w:top w:w="0" w:type="dxa"/>
            <w:left w:w="0" w:type="dxa"/>
            <w:bottom w:w="0" w:type="dxa"/>
            <w:right w:w="0" w:type="dxa"/>
          </w:tblCellMar>
        </w:tblPrEx>
        <w:trPr>
          <w:trHeight w:val="270"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1</w:t>
            </w: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勘探点定点测量</w:t>
            </w:r>
          </w:p>
        </w:tc>
        <w:tc>
          <w:tcPr>
            <w:tcW w:w="27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小计</w:t>
            </w:r>
          </w:p>
        </w:tc>
      </w:tr>
      <w:tr>
        <w:tblPrEx>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1.1</w:t>
            </w: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点位测量</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元/组日</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 </w:t>
            </w:r>
          </w:p>
        </w:tc>
      </w:tr>
      <w:tr>
        <w:tblPrEx>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2</w:t>
            </w: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勘探</w:t>
            </w:r>
          </w:p>
        </w:tc>
        <w:tc>
          <w:tcPr>
            <w:tcW w:w="27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小计</w:t>
            </w:r>
          </w:p>
        </w:tc>
      </w:tr>
      <w:tr>
        <w:tblPrEx>
          <w:shd w:val="clear" w:color="auto" w:fill="auto"/>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2.1</w:t>
            </w: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D≤10m</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II类地层</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元/m</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344.00 </w:t>
            </w:r>
          </w:p>
        </w:tc>
      </w:tr>
      <w:tr>
        <w:tblPrEx>
          <w:shd w:val="clear" w:color="auto" w:fill="auto"/>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Ⅲ类地层</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元/m</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86.00 </w:t>
            </w:r>
          </w:p>
        </w:tc>
      </w:tr>
      <w:tr>
        <w:tblPrEx>
          <w:shd w:val="clear" w:color="auto" w:fill="auto"/>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2.2</w:t>
            </w: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10＜D≤20m</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II类地层</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元/m</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43.00 </w:t>
            </w:r>
          </w:p>
        </w:tc>
      </w:tr>
      <w:tr>
        <w:tblPrEx>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Ⅲ类地层</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元/m</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21.50 </w:t>
            </w:r>
          </w:p>
        </w:tc>
      </w:tr>
      <w:tr>
        <w:tblPrEx>
          <w:shd w:val="clear" w:color="auto" w:fill="auto"/>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Ⅳ类地层</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元/m</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64.50 </w:t>
            </w:r>
          </w:p>
        </w:tc>
      </w:tr>
      <w:tr>
        <w:tblPrEx>
          <w:tblLayout w:type="fixed"/>
          <w:tblCellMar>
            <w:top w:w="0" w:type="dxa"/>
            <w:left w:w="0" w:type="dxa"/>
            <w:bottom w:w="0" w:type="dxa"/>
            <w:right w:w="0" w:type="dxa"/>
          </w:tblCellMar>
        </w:tblPrEx>
        <w:trPr>
          <w:trHeight w:val="345"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3</w:t>
            </w: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取样</w:t>
            </w:r>
          </w:p>
        </w:tc>
        <w:tc>
          <w:tcPr>
            <w:tcW w:w="27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小计</w:t>
            </w:r>
          </w:p>
        </w:tc>
      </w:tr>
      <w:tr>
        <w:tblPrEx>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3.1</w:t>
            </w: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取土试样</w:t>
            </w:r>
          </w:p>
        </w:tc>
        <w:tc>
          <w:tcPr>
            <w:tcW w:w="27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敞口式自由活塞薄壁取土器</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元/件</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43 </w:t>
            </w:r>
          </w:p>
        </w:tc>
      </w:tr>
      <w:tr>
        <w:tblPrEx>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扰动取样</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元/件</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10 </w:t>
            </w:r>
          </w:p>
        </w:tc>
      </w:tr>
      <w:tr>
        <w:tblPrEx>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3.2</w:t>
            </w: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取水</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元/件</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 </w:t>
            </w:r>
          </w:p>
        </w:tc>
      </w:tr>
      <w:tr>
        <w:tblPrEx>
          <w:tblLayout w:type="fixed"/>
          <w:tblCellMar>
            <w:top w:w="0" w:type="dxa"/>
            <w:left w:w="0" w:type="dxa"/>
            <w:bottom w:w="0" w:type="dxa"/>
            <w:right w:w="0" w:type="dxa"/>
          </w:tblCellMar>
        </w:tblPrEx>
        <w:trPr>
          <w:trHeight w:val="270"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4</w:t>
            </w: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原位测试</w:t>
            </w:r>
          </w:p>
        </w:tc>
        <w:tc>
          <w:tcPr>
            <w:tcW w:w="27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小计</w:t>
            </w:r>
          </w:p>
        </w:tc>
      </w:tr>
      <w:tr>
        <w:tblPrEx>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4.1</w:t>
            </w: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标准贯入试验</w:t>
            </w:r>
          </w:p>
        </w:tc>
        <w:tc>
          <w:tcPr>
            <w:tcW w:w="27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D≤20m</w:t>
            </w:r>
          </w:p>
        </w:tc>
        <w:tc>
          <w:tcPr>
            <w:tcW w:w="27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Ⅰ类地层</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元/次</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26.00 </w:t>
            </w:r>
          </w:p>
        </w:tc>
      </w:tr>
      <w:tr>
        <w:tblPrEx>
          <w:shd w:val="clear" w:color="auto" w:fill="auto"/>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Ⅱ类地层</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元/次</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26.00 </w:t>
            </w:r>
          </w:p>
        </w:tc>
      </w:tr>
      <w:tr>
        <w:tblPrEx>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4.2</w:t>
            </w: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重型动探试验</w:t>
            </w:r>
          </w:p>
        </w:tc>
        <w:tc>
          <w:tcPr>
            <w:tcW w:w="27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D≤10m</w:t>
            </w:r>
          </w:p>
        </w:tc>
        <w:tc>
          <w:tcPr>
            <w:tcW w:w="27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Ⅲ类地层</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元/m</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20.0 </w:t>
            </w:r>
          </w:p>
        </w:tc>
      </w:tr>
      <w:tr>
        <w:tblPrEx>
          <w:shd w:val="clear" w:color="auto" w:fill="auto"/>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5</w:t>
            </w: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室内实验</w:t>
            </w:r>
          </w:p>
        </w:tc>
        <w:tc>
          <w:tcPr>
            <w:tcW w:w="278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小计</w:t>
            </w:r>
          </w:p>
        </w:tc>
      </w:tr>
      <w:tr>
        <w:tblPrEx>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5.1</w:t>
            </w: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土工实验</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含水率</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元/项</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43 </w:t>
            </w:r>
          </w:p>
        </w:tc>
      </w:tr>
      <w:tr>
        <w:tblPrEx>
          <w:shd w:val="clear" w:color="auto" w:fill="auto"/>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密度（腊封法）</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元/项</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43 </w:t>
            </w:r>
          </w:p>
        </w:tc>
      </w:tr>
      <w:tr>
        <w:tblPrEx>
          <w:shd w:val="clear" w:color="auto" w:fill="auto"/>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比重</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元/项</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43 </w:t>
            </w:r>
          </w:p>
        </w:tc>
      </w:tr>
      <w:tr>
        <w:tblPrEx>
          <w:shd w:val="clear" w:color="auto" w:fill="auto"/>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液限（碟式仪法）</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元/项</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43 </w:t>
            </w:r>
          </w:p>
        </w:tc>
      </w:tr>
      <w:tr>
        <w:tblPrEx>
          <w:shd w:val="clear" w:color="auto" w:fill="auto"/>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塑限</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元/项</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43 </w:t>
            </w:r>
          </w:p>
        </w:tc>
      </w:tr>
      <w:tr>
        <w:tblPrEx>
          <w:shd w:val="clear" w:color="auto" w:fill="auto"/>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压缩（慢速法）</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元/项</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43 </w:t>
            </w:r>
          </w:p>
        </w:tc>
      </w:tr>
      <w:tr>
        <w:tblPrEx>
          <w:shd w:val="clear" w:color="auto" w:fill="auto"/>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直接剪切（快剪）</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元/项</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43 </w:t>
            </w:r>
          </w:p>
        </w:tc>
      </w:tr>
      <w:tr>
        <w:tblPrEx>
          <w:shd w:val="clear" w:color="auto" w:fill="auto"/>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颗粒分析</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元/项</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43 </w:t>
            </w:r>
          </w:p>
        </w:tc>
      </w:tr>
      <w:tr>
        <w:tblPrEx>
          <w:shd w:val="clear" w:color="auto" w:fill="auto"/>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5.2</w:t>
            </w: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2"/>
                <w:szCs w:val="22"/>
                <w:highlight w:val="none"/>
                <w:u w:val="none"/>
                <w:lang w:val="en-US" w:eastAsia="zh-CN" w:bidi="ar"/>
                <w14:textFill>
                  <w14:solidFill>
                    <w14:schemeClr w14:val="tx1"/>
                  </w14:solidFill>
                </w14:textFill>
              </w:rPr>
              <w:t>水质分析</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水质简分析</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元/件</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2 </w:t>
            </w:r>
          </w:p>
        </w:tc>
      </w:tr>
      <w:tr>
        <w:tblPrEx>
          <w:shd w:val="clear" w:color="auto" w:fill="auto"/>
          <w:tblLayout w:type="fixed"/>
          <w:tblCellMar>
            <w:top w:w="0" w:type="dxa"/>
            <w:left w:w="0" w:type="dxa"/>
            <w:bottom w:w="0" w:type="dxa"/>
            <w:right w:w="0" w:type="dxa"/>
          </w:tblCellMar>
        </w:tblPrEx>
        <w:trPr>
          <w:trHeight w:val="282"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41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易溶盐分析</w:t>
            </w:r>
          </w:p>
        </w:tc>
        <w:tc>
          <w:tcPr>
            <w:tcW w:w="13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元/件</w:t>
            </w:r>
          </w:p>
        </w:tc>
        <w:tc>
          <w:tcPr>
            <w:tcW w:w="13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 xml:space="preserve">3 </w:t>
            </w:r>
          </w:p>
        </w:tc>
      </w:tr>
    </w:tbl>
    <w:p>
      <w:pPr>
        <w:numPr>
          <w:ilvl w:val="0"/>
          <w:numId w:val="0"/>
        </w:num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br w:type="page"/>
      </w:r>
    </w:p>
    <w:p>
      <w:pPr>
        <w:numPr>
          <w:ilvl w:val="0"/>
          <w:numId w:val="0"/>
        </w:numPr>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费用计算如下：</w:t>
      </w:r>
    </w:p>
    <w:tbl>
      <w:tblPr>
        <w:tblStyle w:val="11"/>
        <w:tblW w:w="8336" w:type="dxa"/>
        <w:tblInd w:w="0" w:type="dxa"/>
        <w:shd w:val="clear" w:color="auto" w:fill="auto"/>
        <w:tblLayout w:type="fixed"/>
        <w:tblCellMar>
          <w:top w:w="0" w:type="dxa"/>
          <w:left w:w="0" w:type="dxa"/>
          <w:bottom w:w="0" w:type="dxa"/>
          <w:right w:w="0" w:type="dxa"/>
        </w:tblCellMar>
      </w:tblPr>
      <w:tblGrid>
        <w:gridCol w:w="737"/>
        <w:gridCol w:w="1757"/>
        <w:gridCol w:w="739"/>
        <w:gridCol w:w="894"/>
        <w:gridCol w:w="815"/>
        <w:gridCol w:w="677"/>
        <w:gridCol w:w="1210"/>
        <w:gridCol w:w="1507"/>
      </w:tblGrid>
      <w:tr>
        <w:tblPrEx>
          <w:tblLayout w:type="fixed"/>
          <w:tblCellMar>
            <w:top w:w="0" w:type="dxa"/>
            <w:left w:w="0" w:type="dxa"/>
            <w:bottom w:w="0" w:type="dxa"/>
            <w:right w:w="0" w:type="dxa"/>
          </w:tblCellMar>
        </w:tblPrEx>
        <w:trPr>
          <w:trHeight w:val="642" w:hRule="atLeast"/>
        </w:trPr>
        <w:tc>
          <w:tcPr>
            <w:tcW w:w="8336"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36"/>
                <w:szCs w:val="36"/>
                <w:highlight w:val="none"/>
                <w:u w:val="none"/>
                <w14:textFill>
                  <w14:solidFill>
                    <w14:schemeClr w14:val="tx1"/>
                  </w14:solidFill>
                </w14:textFill>
              </w:rPr>
            </w:pPr>
            <w:r>
              <w:rPr>
                <w:rFonts w:hint="eastAsia" w:ascii="宋体" w:hAnsi="宋体" w:eastAsia="宋体" w:cs="宋体"/>
                <w:b/>
                <w:i w:val="0"/>
                <w:color w:val="000000" w:themeColor="text1"/>
                <w:kern w:val="0"/>
                <w:sz w:val="36"/>
                <w:szCs w:val="36"/>
                <w:highlight w:val="none"/>
                <w:u w:val="none"/>
                <w:lang w:val="en-US" w:eastAsia="zh-CN" w:bidi="ar"/>
                <w14:textFill>
                  <w14:solidFill>
                    <w14:schemeClr w14:val="tx1"/>
                  </w14:solidFill>
                </w14:textFill>
              </w:rPr>
              <w:t>勘察工程计费表</w:t>
            </w:r>
          </w:p>
        </w:tc>
      </w:tr>
      <w:tr>
        <w:tblPrEx>
          <w:tblLayout w:type="fixed"/>
          <w:tblCellMar>
            <w:top w:w="0" w:type="dxa"/>
            <w:left w:w="0" w:type="dxa"/>
            <w:bottom w:w="0" w:type="dxa"/>
            <w:right w:w="0" w:type="dxa"/>
          </w:tblCellMar>
        </w:tblPrEx>
        <w:trPr>
          <w:trHeight w:val="559"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序  号</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工 作 项 目</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单 位</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数  量</w:t>
            </w:r>
          </w:p>
        </w:tc>
        <w:tc>
          <w:tcPr>
            <w:tcW w:w="8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附加调整系数</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单价（元）</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合价（元）</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备注</w:t>
            </w:r>
          </w:p>
        </w:tc>
      </w:tr>
      <w:tr>
        <w:tblPrEx>
          <w:shd w:val="clear" w:color="auto" w:fill="auto"/>
          <w:tblLayout w:type="fixed"/>
          <w:tblCellMar>
            <w:top w:w="0" w:type="dxa"/>
            <w:left w:w="0" w:type="dxa"/>
            <w:bottom w:w="0" w:type="dxa"/>
            <w:right w:w="0" w:type="dxa"/>
          </w:tblCellMar>
        </w:tblPrEx>
        <w:trPr>
          <w:trHeight w:val="27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1</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勘探点定点测量</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小计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 xml:space="preserve">1200.00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1.1</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点位测量</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组日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1.00 </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600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 xml:space="preserve">1200.00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2</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勘探</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小计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 xml:space="preserve">57630.75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2.1</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D</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10m</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II类地层</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/m</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344.00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1.50 </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52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26832.00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Ⅲ类地层</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/m</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86.00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1.50 </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52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6708.00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2.2</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10</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D</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20m</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II类地层</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/m</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43.00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1.50 </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64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4128.00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Ⅲ类地层</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/m</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21.50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1.50 </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64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2064.00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Ⅳ类地层</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/m</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64.50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1.50 </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185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17898.75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4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b/>
                <w:i w:val="0"/>
                <w:color w:val="000000" w:themeColor="text1"/>
                <w:kern w:val="0"/>
                <w:sz w:val="22"/>
                <w:szCs w:val="22"/>
                <w:highlight w:val="none"/>
                <w:u w:val="none"/>
                <w:lang w:val="en-US" w:eastAsia="zh-CN" w:bidi="ar"/>
                <w14:textFill>
                  <w14:solidFill>
                    <w14:schemeClr w14:val="tx1"/>
                  </w14:solidFill>
                </w14:textFill>
              </w:rPr>
              <w:t>3</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取样</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小计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 xml:space="preserve">1170.00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3.1</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取土试样</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敞口式自由活塞薄壁取土器</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件</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43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1.00 </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24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1032.00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扰动取样</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件</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1.00 </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90.00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3.2</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取水</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件</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1.00 </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24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48.00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7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b/>
                <w:i w:val="0"/>
                <w:color w:val="000000" w:themeColor="text1"/>
                <w:kern w:val="0"/>
                <w:sz w:val="22"/>
                <w:szCs w:val="22"/>
                <w:highlight w:val="none"/>
                <w:u w:val="none"/>
                <w:lang w:val="en-US" w:eastAsia="zh-CN" w:bidi="ar"/>
                <w14:textFill>
                  <w14:solidFill>
                    <w14:schemeClr w14:val="tx1"/>
                  </w14:solidFill>
                </w14:textFill>
              </w:rPr>
              <w:t>4</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原位测试</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小计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 xml:space="preserve">4524.00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4.1</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标准贯入试验</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D</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20m</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Ⅰ类地层</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26.00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1.00 </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67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1742.00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Ⅱ类地层</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26.00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1.00 </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67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1742.00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4.2</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重型动探试验</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D</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10m</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Ⅲ类地层</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/m</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20.0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1.00 </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52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1040.00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b/>
                <w:i w:val="0"/>
                <w:color w:val="000000" w:themeColor="text1"/>
                <w:kern w:val="0"/>
                <w:sz w:val="22"/>
                <w:szCs w:val="22"/>
                <w:highlight w:val="none"/>
                <w:u w:val="none"/>
                <w:lang w:val="en-US" w:eastAsia="zh-CN" w:bidi="ar"/>
                <w14:textFill>
                  <w14:solidFill>
                    <w14:schemeClr w14:val="tx1"/>
                  </w14:solidFill>
                </w14:textFill>
              </w:rPr>
              <w:t>5</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室内实验</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小计</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 xml:space="preserve">7957.20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5.1</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土工实验</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含水率</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项</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43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1.00 </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4.8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206.40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密度（腊封法）</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项</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43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1.00 </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10.8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464.40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比重</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项</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43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1.00 </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11.4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490.20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液限（碟式仪法）</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项</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43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1.00 </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13.8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593.40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塑限</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项</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43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1.00 </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774.00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压缩（慢速法）</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项</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43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1.00 </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69.6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2992.80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直接剪切（快剪）</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项</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43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1.00 </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29.4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1264.20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颗粒分析</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项</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43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1.00 </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15.6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670.80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5.2</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水质分析</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highlight w:val="none"/>
                <w:u w:val="none"/>
                <w14:textFill>
                  <w14:solidFill>
                    <w14:schemeClr w14:val="tx1"/>
                  </w14:solidFill>
                </w14:textFill>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水质简分析</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件</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1.00 </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132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264.00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易溶盐分析</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件</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3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1.00 </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highlight w:val="none"/>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79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237.00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b/>
                <w:i w:val="0"/>
                <w:color w:val="000000" w:themeColor="text1"/>
                <w:kern w:val="0"/>
                <w:sz w:val="22"/>
                <w:szCs w:val="22"/>
                <w:highlight w:val="none"/>
                <w:u w:val="none"/>
                <w:lang w:val="en-US" w:eastAsia="zh-CN" w:bidi="ar"/>
                <w14:textFill>
                  <w14:solidFill>
                    <w14:schemeClr w14:val="tx1"/>
                  </w14:solidFill>
                </w14:textFill>
              </w:rPr>
              <w:t>6</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技术工作费</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实物费合计金额</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勘察等级</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比例</w:t>
            </w:r>
          </w:p>
        </w:tc>
        <w:tc>
          <w:tcPr>
            <w:tcW w:w="12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技术费金额</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b/>
                <w:i w:val="0"/>
                <w:color w:val="000000" w:themeColor="text1"/>
                <w:sz w:val="22"/>
                <w:szCs w:val="22"/>
                <w:highlight w:val="none"/>
                <w:u w:val="none"/>
                <w14:textFill>
                  <w14:solidFill>
                    <w14:schemeClr w14:val="tx1"/>
                  </w14:solidFill>
                </w14:textFill>
              </w:rPr>
            </w:pPr>
          </w:p>
        </w:tc>
        <w:tc>
          <w:tcPr>
            <w:tcW w:w="249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岩土工程勘察技术工作费</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71281.95 </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乙级</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100%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 xml:space="preserve">71281.95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7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 xml:space="preserve">71281.95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b/>
                <w:i w:val="0"/>
                <w:color w:val="000000" w:themeColor="text1"/>
                <w:kern w:val="0"/>
                <w:sz w:val="22"/>
                <w:szCs w:val="22"/>
                <w:highlight w:val="none"/>
                <w:u w:val="none"/>
                <w:lang w:val="en-US" w:eastAsia="zh-CN" w:bidi="ar"/>
                <w14:textFill>
                  <w14:solidFill>
                    <w14:schemeClr w14:val="tx1"/>
                  </w14:solidFill>
                </w14:textFill>
              </w:rPr>
              <w:t>7</w:t>
            </w:r>
          </w:p>
        </w:tc>
        <w:tc>
          <w:tcPr>
            <w:tcW w:w="17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勘察费用合计</w:t>
            </w:r>
          </w:p>
        </w:tc>
        <w:tc>
          <w:tcPr>
            <w:tcW w:w="7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highlight w:val="none"/>
                <w:u w:val="none"/>
                <w14:textFill>
                  <w14:solidFill>
                    <w14:schemeClr w14:val="tx1"/>
                  </w14:solidFill>
                </w14:textFill>
              </w:rPr>
            </w:pPr>
            <w:r>
              <w:rPr>
                <w:rFonts w:hint="eastAsia" w:ascii="宋体" w:hAnsi="宋体" w:eastAsia="宋体" w:cs="宋体"/>
                <w:b/>
                <w:i w:val="0"/>
                <w:color w:val="000000" w:themeColor="text1"/>
                <w:kern w:val="0"/>
                <w:sz w:val="22"/>
                <w:szCs w:val="22"/>
                <w:highlight w:val="none"/>
                <w:u w:val="none"/>
                <w:lang w:val="en-US" w:eastAsia="zh-CN" w:bidi="ar"/>
                <w14:textFill>
                  <w14:solidFill>
                    <w14:schemeClr w14:val="tx1"/>
                  </w14:solidFill>
                </w14:textFill>
              </w:rPr>
              <w:t xml:space="preserve">128307.51 </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附加调整系数0.9</w:t>
            </w:r>
          </w:p>
        </w:tc>
      </w:tr>
    </w:tbl>
    <w:p>
      <w:pPr>
        <w:pStyle w:val="2"/>
        <w:bidi w:val="0"/>
        <w:jc w:val="center"/>
        <w:outlineLvl w:val="9"/>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br w:type="page"/>
      </w:r>
    </w:p>
    <w:p>
      <w:pPr>
        <w:pStyle w:val="2"/>
        <w:bidi w:val="0"/>
        <w:jc w:val="center"/>
        <w:rPr>
          <w:rFonts w:hint="eastAsia"/>
          <w:color w:val="000000" w:themeColor="text1"/>
          <w:sz w:val="36"/>
          <w:szCs w:val="36"/>
          <w:highlight w:val="none"/>
          <w:lang w:val="en-US" w:eastAsia="zh-CN"/>
          <w14:textFill>
            <w14:solidFill>
              <w14:schemeClr w14:val="tx1"/>
            </w14:solidFill>
          </w14:textFill>
        </w:rPr>
      </w:pPr>
      <w:bookmarkStart w:id="22" w:name="_Toc8478"/>
      <w:r>
        <w:rPr>
          <w:rFonts w:hint="eastAsia"/>
          <w:color w:val="000000" w:themeColor="text1"/>
          <w:sz w:val="36"/>
          <w:szCs w:val="36"/>
          <w:highlight w:val="none"/>
          <w:lang w:val="en-US" w:eastAsia="zh-CN"/>
          <w14:textFill>
            <w14:solidFill>
              <w14:schemeClr w14:val="tx1"/>
            </w14:solidFill>
          </w14:textFill>
        </w:rPr>
        <w:t>第八章 第三方工程监测费</w:t>
      </w:r>
      <w:bookmarkEnd w:id="22"/>
    </w:p>
    <w:p>
      <w:pPr>
        <w:numPr>
          <w:ilvl w:val="0"/>
          <w:numId w:val="61"/>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工作内容：</w:t>
      </w:r>
    </w:p>
    <w:p>
      <w:pPr>
        <w:numPr>
          <w:ilvl w:val="0"/>
          <w:numId w:val="62"/>
        </w:numPr>
        <w:ind w:left="5" w:leftChars="0" w:firstLine="635" w:firstLineChars="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收集已有资料、现场踏勘、</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编制和审查监测方案，埋设、验收与保护监测基准点和监测点，检验仪器设备、标定元器件、测定监测点、采集监测信息、处理和分析监测信息、编制监测工作总结报告及相应的成果资料</w:t>
      </w:r>
    </w:p>
    <w:p>
      <w:pPr>
        <w:numPr>
          <w:ilvl w:val="0"/>
          <w:numId w:val="62"/>
        </w:numPr>
        <w:ind w:left="5" w:leftChars="0" w:firstLine="635" w:firstLineChars="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建筑基坑监测的对象包括：支护结构、相关自然环境、施工工况、地下水状况、基坑底部及周围土体、周围建（构）筑物、周围地下管线及地下设施、周围重要的道路、其他应监测的对象。</w:t>
      </w:r>
    </w:p>
    <w:p>
      <w:pPr>
        <w:numPr>
          <w:ilvl w:val="0"/>
          <w:numId w:val="62"/>
        </w:numPr>
        <w:ind w:left="5" w:leftChars="0" w:firstLine="635"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城市轨道交通、隧道工程施工工法主要为明挖法、盖挖法、盾构法和矿山法。针对各种施工工法，所有监测对象可归纳为三大类，即工程支护结构、周围岩土体及周边环境。</w:t>
      </w:r>
    </w:p>
    <w:p>
      <w:pPr>
        <w:numPr>
          <w:ilvl w:val="0"/>
          <w:numId w:val="62"/>
        </w:numPr>
        <w:ind w:left="5" w:leftChars="0" w:firstLine="635"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建筑基坑监测项目的内容主要包括水平位移监测、竖向位移监测、深层水平位移监测、倾斜监测、裂缝监测、支护结构内力监测、土压力监测、孔隙水压监测、地下水位监测和锚杆拉力监测等。</w:t>
      </w:r>
    </w:p>
    <w:p>
      <w:pPr>
        <w:numPr>
          <w:ilvl w:val="0"/>
          <w:numId w:val="62"/>
        </w:numPr>
        <w:ind w:left="5" w:leftChars="0" w:firstLine="635"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轨道交通工程监测项目的内容主要包括：</w:t>
      </w:r>
    </w:p>
    <w:p>
      <w:pPr>
        <w:numPr>
          <w:ilvl w:val="1"/>
          <w:numId w:val="62"/>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明挖法和盖挖法基坑支护结构和周围岩土体：支护桩(墙)、边坡顶部水平位移和竖向位移、支护桩(墙)体水平位移监测、支护桩(墙)体结构应力监测、立柱的变形监测、支撑轴力监测、锚杆拉力监测、地表沉降监测、竖井井壁的净空收敛监测、地下水位监测、坑底隆起(回弹)监测、土钉拉力监测、支护桩(墙)外侧土压力监测、孔隙水压力监测；</w:t>
      </w:r>
    </w:p>
    <w:p>
      <w:pPr>
        <w:numPr>
          <w:ilvl w:val="2"/>
          <w:numId w:val="62"/>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盾构法隧道管片结构和周围岩土体：地表沉降监测、盾构管片结构竖向位移和净空收敛监测管片竖向位移和水平位移、管片净空收敛监测、土体分层竖向位移和深层水平位移监测、管片结构应力监测、管片连接螺栓应力监测、管片围岩压力监测；</w:t>
      </w:r>
    </w:p>
    <w:p>
      <w:pPr>
        <w:numPr>
          <w:ilvl w:val="2"/>
          <w:numId w:val="62"/>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矿山法隧道支护结构和周围岩土体：初期支护结构拱顶沉降监测、初期支护结构底板竖向位移监测、初期支护结构净空收敛监测、中柱结构竖向位移、中柱结构的倾斜及应力监测、初期支护、二次衬砌结构应力监测、地表沉降监测、土体深层水平和竖向位移监测、围岩与初期支护结构间接触应力监测、围岩与初期支护结构间接触应力监测；</w:t>
      </w:r>
    </w:p>
    <w:p>
      <w:pPr>
        <w:numPr>
          <w:ilvl w:val="2"/>
          <w:numId w:val="62"/>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周边环境的监测项目：建(构)筑物、地下管线、高速公路与城市道路、桥梁、既有城市轨道交通、既有铁路等环境对象的仪器监测项目。</w:t>
      </w:r>
    </w:p>
    <w:p>
      <w:pPr>
        <w:numPr>
          <w:ilvl w:val="0"/>
          <w:numId w:val="61"/>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适用范围：本市政府投资建设项目的第三方工程监测费招标上限值（预算控制价）编、审及相关费用的结算可参考本标准。</w:t>
      </w:r>
    </w:p>
    <w:p>
      <w:pPr>
        <w:numPr>
          <w:ilvl w:val="0"/>
          <w:numId w:val="61"/>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 xml:space="preserve">计费标准 </w:t>
      </w:r>
    </w:p>
    <w:p>
      <w:pPr>
        <w:numPr>
          <w:ilvl w:val="0"/>
          <w:numId w:val="63"/>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第三方工程监测费采取实物工作量定额计费方法计算，按工程类别分为建筑基坑监测、轨道交通、隧道监测和建筑与桥梁结构监测，按监测方法分为全自动监测及常规监测。</w:t>
      </w:r>
    </w:p>
    <w:p>
      <w:pPr>
        <w:numPr>
          <w:ilvl w:val="0"/>
          <w:numId w:val="63"/>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 xml:space="preserve">第三方工程监测收费按照下列公式计算 </w:t>
      </w:r>
    </w:p>
    <w:p>
      <w:pPr>
        <w:numPr>
          <w:ilvl w:val="1"/>
          <w:numId w:val="63"/>
        </w:numPr>
        <w:ind w:left="7" w:leftChars="0" w:firstLine="633"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全自动监测根据投入的全自动仪器数量及使用时间，按每月每台为基准价计取费用；</w:t>
      </w:r>
    </w:p>
    <w:p>
      <w:pPr>
        <w:numPr>
          <w:ilvl w:val="1"/>
          <w:numId w:val="63"/>
        </w:numPr>
        <w:ind w:left="7" w:leftChars="0" w:firstLine="633"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常规工程监测计费=工程监测费基准价</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实物工作量</w:t>
      </w:r>
    </w:p>
    <w:p>
      <w:pPr>
        <w:numPr>
          <w:ilvl w:val="0"/>
          <w:numId w:val="61"/>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相关说明</w:t>
      </w:r>
    </w:p>
    <w:p>
      <w:pPr>
        <w:numPr>
          <w:ilvl w:val="0"/>
          <w:numId w:val="64"/>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全自动监测费用基准价包含仪器、测点、基准点安装，调试，监测数据分析处理，软件使用，信息反馈，基准点人工复核等费用。</w:t>
      </w:r>
    </w:p>
    <w:p>
      <w:pPr>
        <w:numPr>
          <w:ilvl w:val="0"/>
          <w:numId w:val="64"/>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常规监测项目中的基准点、监测点设置由施工单位实施，第三方工程监测费原则上不计取该部分费用。</w:t>
      </w:r>
    </w:p>
    <w:p>
      <w:pPr>
        <w:numPr>
          <w:ilvl w:val="0"/>
          <w:numId w:val="61"/>
        </w:numPr>
        <w:ind w:left="0" w:leftChars="0" w:firstLine="640" w:firstLineChars="0"/>
        <w:rPr>
          <w:rFonts w:hint="default"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名词解释</w:t>
      </w:r>
    </w:p>
    <w:p>
      <w:pPr>
        <w:numPr>
          <w:ilvl w:val="0"/>
          <w:numId w:val="65"/>
        </w:numPr>
        <w:ind w:left="0" w:leftChars="0" w:firstLine="640" w:firstLineChars="0"/>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工程监测</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指在建构筑物施工过程中，采用监测仪器对关键部位各项控制指标进行监测的技术手段，在监测值接近控制值时发出报警，用来保证施工的安全性，也可用于检查施工过程是否合理。</w:t>
      </w:r>
    </w:p>
    <w:p>
      <w:pPr>
        <w:numPr>
          <w:ilvl w:val="0"/>
          <w:numId w:val="65"/>
        </w:numPr>
        <w:ind w:left="0" w:leftChars="0" w:firstLine="640" w:firstLineChars="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工程监测费基准价</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按照本标准计算出的工程监测基准计费额。</w:t>
      </w: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（详附表一）</w:t>
      </w:r>
    </w:p>
    <w:p>
      <w:pPr>
        <w:numPr>
          <w:ilvl w:val="0"/>
          <w:numId w:val="0"/>
        </w:numPr>
        <w:ind w:firstLine="280" w:firstLineChars="100"/>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br w:type="page"/>
      </w:r>
    </w:p>
    <w:p>
      <w:pPr>
        <w:rPr>
          <w:rFonts w:hint="default"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cstheme="minorEastAsia"/>
          <w:bCs/>
          <w:color w:val="000000" w:themeColor="text1"/>
          <w:sz w:val="28"/>
          <w:szCs w:val="28"/>
          <w:highlight w:val="none"/>
          <w:lang w:val="en-US" w:eastAsia="zh-CN"/>
          <w14:textFill>
            <w14:solidFill>
              <w14:schemeClr w14:val="tx1"/>
            </w14:solidFill>
          </w14:textFill>
        </w:rPr>
        <w:t>附表一</w:t>
      </w:r>
    </w:p>
    <w:tbl>
      <w:tblPr>
        <w:tblStyle w:val="11"/>
        <w:tblW w:w="8336" w:type="dxa"/>
        <w:tblInd w:w="0" w:type="dxa"/>
        <w:shd w:val="clear" w:color="auto" w:fill="auto"/>
        <w:tblLayout w:type="fixed"/>
        <w:tblCellMar>
          <w:top w:w="0" w:type="dxa"/>
          <w:left w:w="0" w:type="dxa"/>
          <w:bottom w:w="0" w:type="dxa"/>
          <w:right w:w="0" w:type="dxa"/>
        </w:tblCellMar>
      </w:tblPr>
      <w:tblGrid>
        <w:gridCol w:w="1476"/>
        <w:gridCol w:w="2175"/>
        <w:gridCol w:w="1022"/>
        <w:gridCol w:w="1485"/>
        <w:gridCol w:w="2178"/>
      </w:tblGrid>
      <w:tr>
        <w:tblPrEx>
          <w:shd w:val="clear" w:color="auto" w:fill="auto"/>
          <w:tblLayout w:type="fixed"/>
          <w:tblCellMar>
            <w:top w:w="0" w:type="dxa"/>
            <w:left w:w="0" w:type="dxa"/>
            <w:bottom w:w="0" w:type="dxa"/>
            <w:right w:w="0" w:type="dxa"/>
          </w:tblCellMar>
        </w:tblPrEx>
        <w:trPr>
          <w:trHeight w:val="840" w:hRule="atLeast"/>
        </w:trPr>
        <w:tc>
          <w:tcPr>
            <w:tcW w:w="8336"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8"/>
                <w:szCs w:val="28"/>
                <w:highlight w:val="none"/>
                <w:u w:val="none"/>
                <w14:textFill>
                  <w14:solidFill>
                    <w14:schemeClr w14:val="tx1"/>
                  </w14:solidFill>
                </w14:textFill>
              </w:rPr>
            </w:pPr>
            <w:r>
              <w:rPr>
                <w:rFonts w:hint="eastAsia" w:ascii="宋体" w:hAnsi="宋体" w:eastAsia="宋体" w:cs="宋体"/>
                <w:b/>
                <w:i w:val="0"/>
                <w:color w:val="000000" w:themeColor="text1"/>
                <w:kern w:val="0"/>
                <w:sz w:val="28"/>
                <w:szCs w:val="28"/>
                <w:highlight w:val="none"/>
                <w:u w:val="none"/>
                <w:lang w:val="en-US" w:eastAsia="zh-CN" w:bidi="ar"/>
                <w14:textFill>
                  <w14:solidFill>
                    <w14:schemeClr w14:val="tx1"/>
                  </w14:solidFill>
                </w14:textFill>
              </w:rPr>
              <w:t>湖南省建设工程第三方监测计费标准</w:t>
            </w:r>
          </w:p>
        </w:tc>
      </w:tr>
      <w:tr>
        <w:tblPrEx>
          <w:tblLayout w:type="fixed"/>
          <w:tblCellMar>
            <w:top w:w="0" w:type="dxa"/>
            <w:left w:w="0" w:type="dxa"/>
            <w:bottom w:w="0" w:type="dxa"/>
            <w:right w:w="0" w:type="dxa"/>
          </w:tblCellMar>
        </w:tblPrEx>
        <w:trPr>
          <w:trHeight w:val="360" w:hRule="atLeast"/>
        </w:trPr>
        <w:tc>
          <w:tcPr>
            <w:tcW w:w="14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序号</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项目</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计费单位</w:t>
            </w:r>
          </w:p>
        </w:tc>
        <w:tc>
          <w:tcPr>
            <w:tcW w:w="148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综合单价（元）</w:t>
            </w:r>
          </w:p>
        </w:tc>
        <w:tc>
          <w:tcPr>
            <w:tcW w:w="21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备注</w:t>
            </w:r>
          </w:p>
        </w:tc>
      </w:tr>
      <w:tr>
        <w:tblPrEx>
          <w:tblLayout w:type="fixed"/>
          <w:tblCellMar>
            <w:top w:w="0" w:type="dxa"/>
            <w:left w:w="0" w:type="dxa"/>
            <w:bottom w:w="0" w:type="dxa"/>
            <w:right w:w="0" w:type="dxa"/>
          </w:tblCellMar>
        </w:tblPrEx>
        <w:trPr>
          <w:trHeight w:val="36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4"/>
                <w:szCs w:val="24"/>
                <w:highlight w:val="none"/>
                <w:u w:val="none"/>
                <w14:textFill>
                  <w14:solidFill>
                    <w14:schemeClr w14:val="tx1"/>
                  </w14:solidFill>
                </w14:textFill>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4"/>
                <w:szCs w:val="24"/>
                <w:highlight w:val="none"/>
                <w:u w:val="none"/>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4"/>
                <w:szCs w:val="24"/>
                <w:highlight w:val="none"/>
                <w:u w:val="none"/>
                <w14:textFill>
                  <w14:solidFill>
                    <w14:schemeClr w14:val="tx1"/>
                  </w14:solidFill>
                </w14:textFill>
              </w:rPr>
            </w:pPr>
          </w:p>
        </w:tc>
        <w:tc>
          <w:tcPr>
            <w:tcW w:w="148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4"/>
                <w:szCs w:val="24"/>
                <w:highlight w:val="none"/>
                <w:u w:val="none"/>
                <w14:textFill>
                  <w14:solidFill>
                    <w14:schemeClr w14:val="tx1"/>
                  </w14:solidFill>
                </w14:textFill>
              </w:rPr>
            </w:pPr>
          </w:p>
        </w:tc>
        <w:tc>
          <w:tcPr>
            <w:tcW w:w="21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147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一、常规监测</w:t>
            </w:r>
          </w:p>
        </w:tc>
        <w:tc>
          <w:tcPr>
            <w:tcW w:w="217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4"/>
                <w:szCs w:val="24"/>
                <w:highlight w:val="none"/>
                <w:u w:val="none"/>
                <w14:textFill>
                  <w14:solidFill>
                    <w14:schemeClr w14:val="tx1"/>
                  </w14:solidFill>
                </w14:textFill>
              </w:rPr>
            </w:pPr>
          </w:p>
        </w:tc>
        <w:tc>
          <w:tcPr>
            <w:tcW w:w="1022"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4"/>
                <w:szCs w:val="24"/>
                <w:highlight w:val="none"/>
                <w:u w:val="none"/>
                <w14:textFill>
                  <w14:solidFill>
                    <w14:schemeClr w14:val="tx1"/>
                  </w14:solidFill>
                </w14:textFill>
              </w:rPr>
            </w:pPr>
          </w:p>
        </w:tc>
        <w:tc>
          <w:tcPr>
            <w:tcW w:w="1485"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4"/>
                <w:szCs w:val="24"/>
                <w:highlight w:val="none"/>
                <w:u w:val="none"/>
                <w14:textFill>
                  <w14:solidFill>
                    <w14:schemeClr w14:val="tx1"/>
                  </w14:solidFill>
                </w14:textFill>
              </w:rPr>
            </w:pPr>
          </w:p>
        </w:tc>
        <w:tc>
          <w:tcPr>
            <w:tcW w:w="217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83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（一）建筑基坑监测</w:t>
            </w:r>
          </w:p>
        </w:tc>
      </w:tr>
      <w:tr>
        <w:tblPrEx>
          <w:tblLayout w:type="fixed"/>
          <w:tblCellMar>
            <w:top w:w="0" w:type="dxa"/>
            <w:left w:w="0" w:type="dxa"/>
            <w:bottom w:w="0" w:type="dxa"/>
            <w:right w:w="0" w:type="dxa"/>
          </w:tblCellMar>
        </w:tblPrEx>
        <w:trPr>
          <w:trHeight w:val="36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1</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水平位移监测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lang w:val="en-US"/>
                <w14:textFill>
                  <w14:solidFill>
                    <w14:schemeClr w14:val="tx1"/>
                  </w14:solidFill>
                </w14:textFill>
              </w:rPr>
            </w:pPr>
            <w:r>
              <w:rPr>
                <w:rFonts w:hint="eastAsia"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37.2</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2</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竖向位移监测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lang w:val="en-US"/>
                <w14:textFill>
                  <w14:solidFill>
                    <w14:schemeClr w14:val="tx1"/>
                  </w14:solidFill>
                </w14:textFill>
              </w:rPr>
            </w:pPr>
            <w:r>
              <w:rPr>
                <w:rFonts w:hint="eastAsia"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25.2</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含坑底隆起（回弹）等</w:t>
            </w:r>
          </w:p>
        </w:tc>
      </w:tr>
      <w:tr>
        <w:tblPrEx>
          <w:tblLayout w:type="fixed"/>
          <w:tblCellMar>
            <w:top w:w="0" w:type="dxa"/>
            <w:left w:w="0" w:type="dxa"/>
            <w:bottom w:w="0" w:type="dxa"/>
            <w:right w:w="0" w:type="dxa"/>
          </w:tblCellMar>
        </w:tblPrEx>
        <w:trPr>
          <w:trHeight w:val="36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3</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深层水平位移监测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元/孔·次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80</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4</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倾斜监测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90</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2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5</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裂缝观测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lang w:val="en-US"/>
                <w14:textFill>
                  <w14:solidFill>
                    <w14:schemeClr w14:val="tx1"/>
                  </w14:solidFill>
                </w14:textFill>
              </w:rPr>
            </w:pPr>
            <w:r>
              <w:rPr>
                <w:rFonts w:hint="eastAsia"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13.8</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包括裂缝的位置、走向、长度、宽度及变化程度，需要时还包括深度</w:t>
            </w:r>
          </w:p>
        </w:tc>
      </w:tr>
      <w:tr>
        <w:tblPrEx>
          <w:tblLayout w:type="fixed"/>
          <w:tblCellMar>
            <w:top w:w="0" w:type="dxa"/>
            <w:left w:w="0" w:type="dxa"/>
            <w:bottom w:w="0" w:type="dxa"/>
            <w:right w:w="0" w:type="dxa"/>
          </w:tblCellMar>
        </w:tblPrEx>
        <w:trPr>
          <w:trHeight w:val="36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6</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支护结构内力监测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 xml:space="preserve">28.7 </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14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7</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土压力监测（土体回弹、分层沉降）</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元/点·次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D≤20m</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512.3</w:t>
            </w:r>
          </w:p>
        </w:tc>
        <w:tc>
          <w:tcPr>
            <w:tcW w:w="21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D为观测点深度</w:t>
            </w:r>
          </w:p>
        </w:tc>
      </w:tr>
      <w:tr>
        <w:tblPrEx>
          <w:tblLayout w:type="fixed"/>
          <w:tblCellMar>
            <w:top w:w="0" w:type="dxa"/>
            <w:left w:w="0" w:type="dxa"/>
            <w:bottom w:w="0" w:type="dxa"/>
            <w:right w:w="0" w:type="dxa"/>
          </w:tblCellMar>
        </w:tblPrEx>
        <w:trPr>
          <w:trHeight w:val="300" w:hRule="atLeast"/>
        </w:trPr>
        <w:tc>
          <w:tcPr>
            <w:tcW w:w="14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D</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20m</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614.8</w:t>
            </w:r>
          </w:p>
        </w:tc>
        <w:tc>
          <w:tcPr>
            <w:tcW w:w="21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14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8</w:t>
            </w:r>
          </w:p>
        </w:tc>
        <w:tc>
          <w:tcPr>
            <w:tcW w:w="217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应力应变监测</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元/点·次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D≤4</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个，</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47.5</w:t>
            </w:r>
          </w:p>
        </w:tc>
        <w:tc>
          <w:tcPr>
            <w:tcW w:w="217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D为传感器个数</w:t>
            </w:r>
          </w:p>
        </w:tc>
      </w:tr>
      <w:tr>
        <w:tblPrEx>
          <w:shd w:val="clear" w:color="auto" w:fill="auto"/>
          <w:tblLayout w:type="fixed"/>
          <w:tblCellMar>
            <w:top w:w="0" w:type="dxa"/>
            <w:left w:w="0" w:type="dxa"/>
            <w:bottom w:w="0" w:type="dxa"/>
            <w:right w:w="0" w:type="dxa"/>
          </w:tblCellMar>
        </w:tblPrEx>
        <w:trPr>
          <w:trHeight w:val="300" w:hRule="atLeast"/>
        </w:trPr>
        <w:tc>
          <w:tcPr>
            <w:tcW w:w="14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217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每增加</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1</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个，</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12.3</w:t>
            </w:r>
          </w:p>
        </w:tc>
        <w:tc>
          <w:tcPr>
            <w:tcW w:w="217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147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9</w:t>
            </w:r>
          </w:p>
        </w:tc>
        <w:tc>
          <w:tcPr>
            <w:tcW w:w="217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孔隙水压试验</w:t>
            </w:r>
          </w:p>
        </w:tc>
        <w:tc>
          <w:tcPr>
            <w:tcW w:w="10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元/点·次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D≤6</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个，</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71.3</w:t>
            </w:r>
          </w:p>
        </w:tc>
        <w:tc>
          <w:tcPr>
            <w:tcW w:w="217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D为传感器个数</w:t>
            </w:r>
          </w:p>
        </w:tc>
      </w:tr>
      <w:tr>
        <w:tblPrEx>
          <w:tblLayout w:type="fixed"/>
          <w:tblCellMar>
            <w:top w:w="0" w:type="dxa"/>
            <w:left w:w="0" w:type="dxa"/>
            <w:bottom w:w="0" w:type="dxa"/>
            <w:right w:w="0" w:type="dxa"/>
          </w:tblCellMar>
        </w:tblPrEx>
        <w:trPr>
          <w:trHeight w:val="300" w:hRule="atLeast"/>
        </w:trPr>
        <w:tc>
          <w:tcPr>
            <w:tcW w:w="147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217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2"/>
                <w:szCs w:val="22"/>
                <w:highlight w:val="none"/>
                <w:u w:val="none"/>
                <w14:textFill>
                  <w14:solidFill>
                    <w14:schemeClr w14:val="tx1"/>
                  </w14:solidFill>
                </w14:textFill>
              </w:rPr>
            </w:pPr>
          </w:p>
        </w:tc>
        <w:tc>
          <w:tcPr>
            <w:tcW w:w="10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每增加</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1</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个，</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15</w:t>
            </w:r>
          </w:p>
        </w:tc>
        <w:tc>
          <w:tcPr>
            <w:tcW w:w="217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10</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地下水位监测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28.7</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11</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锚杆拉力监测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个</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28.7</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12</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沉降监测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31.1</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13</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管线变形监测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31.1</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83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（二）轨道交通、隧道监测（含综合管廊）</w:t>
            </w:r>
          </w:p>
        </w:tc>
      </w:tr>
      <w:tr>
        <w:tblPrEx>
          <w:tblLayout w:type="fixed"/>
          <w:tblCellMar>
            <w:top w:w="0" w:type="dxa"/>
            <w:left w:w="0" w:type="dxa"/>
            <w:bottom w:w="0" w:type="dxa"/>
            <w:right w:w="0" w:type="dxa"/>
          </w:tblCellMar>
        </w:tblPrEx>
        <w:trPr>
          <w:trHeight w:val="42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1</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水平位移监测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8.5</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含支护结构桩（墙）顶、立柱结构、管片结构等</w:t>
            </w:r>
          </w:p>
        </w:tc>
      </w:tr>
      <w:tr>
        <w:tblPrEx>
          <w:tblLayout w:type="fixed"/>
          <w:tblCellMar>
            <w:top w:w="0" w:type="dxa"/>
            <w:left w:w="0" w:type="dxa"/>
            <w:bottom w:w="0" w:type="dxa"/>
            <w:right w:w="0" w:type="dxa"/>
          </w:tblCellMar>
        </w:tblPrEx>
        <w:trPr>
          <w:trHeight w:val="42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2</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竖向位移监测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5.6</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含支护结构桩（墙）顶、立柱结构、管片结构等</w:t>
            </w:r>
          </w:p>
        </w:tc>
      </w:tr>
      <w:tr>
        <w:tblPrEx>
          <w:tblLayout w:type="fixed"/>
          <w:tblCellMar>
            <w:top w:w="0" w:type="dxa"/>
            <w:left w:w="0" w:type="dxa"/>
            <w:bottom w:w="0" w:type="dxa"/>
            <w:right w:w="0" w:type="dxa"/>
          </w:tblCellMar>
        </w:tblPrEx>
        <w:trPr>
          <w:trHeight w:val="36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3</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深层水平位移监测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3</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4</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倾斜监测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14</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主要针对周边环境，如桥梁墩柱等</w:t>
            </w:r>
          </w:p>
        </w:tc>
      </w:tr>
      <w:tr>
        <w:tblPrEx>
          <w:tblLayout w:type="fixed"/>
          <w:tblCellMar>
            <w:top w:w="0" w:type="dxa"/>
            <w:left w:w="0" w:type="dxa"/>
            <w:bottom w:w="0" w:type="dxa"/>
            <w:right w:w="0" w:type="dxa"/>
          </w:tblCellMar>
        </w:tblPrEx>
        <w:trPr>
          <w:trHeight w:val="36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5</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裂缝监测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3.8</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6</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桥梁结构裂缝监测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lang w:val="en-US"/>
                <w14:textFill>
                  <w14:solidFill>
                    <w14:schemeClr w14:val="tx1"/>
                  </w14:solidFill>
                </w14:textFill>
              </w:rPr>
            </w:pPr>
            <w:r>
              <w:rPr>
                <w:rFonts w:hint="eastAsia"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3.8</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7</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支护结构内力监测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9.6</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8</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土压力监测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5.6</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土体回弹、分层沉降监测</w:t>
            </w:r>
          </w:p>
        </w:tc>
      </w:tr>
      <w:tr>
        <w:tblPrEx>
          <w:tblLayout w:type="fixed"/>
          <w:tblCellMar>
            <w:top w:w="0" w:type="dxa"/>
            <w:left w:w="0" w:type="dxa"/>
            <w:bottom w:w="0" w:type="dxa"/>
            <w:right w:w="0" w:type="dxa"/>
          </w:tblCellMar>
        </w:tblPrEx>
        <w:trPr>
          <w:trHeight w:val="36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9</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地下水位监测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8.7</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10</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锚杆拉力监测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个</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13.2</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11</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沉降监测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5.6</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地表沉降等</w:t>
            </w:r>
          </w:p>
        </w:tc>
      </w:tr>
      <w:tr>
        <w:tblPrEx>
          <w:tblLayout w:type="fixed"/>
          <w:tblCellMar>
            <w:top w:w="0" w:type="dxa"/>
            <w:left w:w="0" w:type="dxa"/>
            <w:bottom w:w="0" w:type="dxa"/>
            <w:right w:w="0" w:type="dxa"/>
          </w:tblCellMar>
        </w:tblPrEx>
        <w:trPr>
          <w:trHeight w:val="36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12</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管线变形监测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3.8</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6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13</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建筑物沉降、倾斜监测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元/栋</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4000</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83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（三）建筑与桥梁结构监测</w:t>
            </w:r>
          </w:p>
        </w:tc>
      </w:tr>
      <w:tr>
        <w:tblPrEx>
          <w:tblLayout w:type="fixed"/>
          <w:tblCellMar>
            <w:top w:w="0" w:type="dxa"/>
            <w:left w:w="0" w:type="dxa"/>
            <w:bottom w:w="0" w:type="dxa"/>
            <w:right w:w="0" w:type="dxa"/>
          </w:tblCellMar>
        </w:tblPrEx>
        <w:trPr>
          <w:trHeight w:val="30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1</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应力应变监测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 xml:space="preserve">28.7 </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2</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温度监测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 xml:space="preserve">28.7 </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3</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垂直位移</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25.2</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 xml:space="preserve"> </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30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4</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水平位移</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lang w:val="en-US"/>
                <w14:textFill>
                  <w14:solidFill>
                    <w14:schemeClr w14:val="tx1"/>
                  </w14:solidFill>
                </w14:textFill>
              </w:rPr>
            </w:pPr>
            <w:r>
              <w:rPr>
                <w:rFonts w:hint="eastAsia"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37.2</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0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5</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倾斜监测</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点</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次</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 xml:space="preserve">90 </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16"/>
                <w:szCs w:val="16"/>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60" w:hRule="atLeast"/>
        </w:trPr>
        <w:tc>
          <w:tcPr>
            <w:tcW w:w="83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24"/>
                <w:szCs w:val="24"/>
                <w:highlight w:val="none"/>
                <w:u w:val="none"/>
                <w14:textFill>
                  <w14:solidFill>
                    <w14:schemeClr w14:val="tx1"/>
                  </w14:solidFill>
                </w14:textFill>
              </w:rPr>
            </w:pPr>
            <w:r>
              <w:rPr>
                <w:rFonts w:hint="eastAsia" w:ascii="宋体" w:hAnsi="宋体" w:eastAsia="宋体" w:cs="宋体"/>
                <w:b/>
                <w:i w:val="0"/>
                <w:color w:val="000000" w:themeColor="text1"/>
                <w:kern w:val="0"/>
                <w:sz w:val="24"/>
                <w:szCs w:val="24"/>
                <w:highlight w:val="none"/>
                <w:u w:val="none"/>
                <w:lang w:val="en-US" w:eastAsia="zh-CN" w:bidi="ar"/>
                <w14:textFill>
                  <w14:solidFill>
                    <w14:schemeClr w14:val="tx1"/>
                  </w14:solidFill>
                </w14:textFill>
              </w:rPr>
              <w:t>二、自动化监测项目</w:t>
            </w:r>
          </w:p>
        </w:tc>
      </w:tr>
      <w:tr>
        <w:tblPrEx>
          <w:tblLayout w:type="fixed"/>
          <w:tblCellMar>
            <w:top w:w="0" w:type="dxa"/>
            <w:left w:w="0" w:type="dxa"/>
            <w:bottom w:w="0" w:type="dxa"/>
            <w:right w:w="0" w:type="dxa"/>
          </w:tblCellMar>
        </w:tblPrEx>
        <w:trPr>
          <w:trHeight w:val="36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1</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监测点布置</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个</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360</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含微型棱镜、支架及其安装费</w:t>
            </w:r>
          </w:p>
        </w:tc>
      </w:tr>
      <w:tr>
        <w:tblPrEx>
          <w:tblLayout w:type="fixed"/>
          <w:tblCellMar>
            <w:top w:w="0" w:type="dxa"/>
            <w:left w:w="0" w:type="dxa"/>
            <w:bottom w:w="0" w:type="dxa"/>
            <w:right w:w="0" w:type="dxa"/>
          </w:tblCellMar>
        </w:tblPrEx>
        <w:trPr>
          <w:trHeight w:val="36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2</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基准点设置</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个</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600</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含单棱镜、支架及其安装费</w:t>
            </w:r>
          </w:p>
        </w:tc>
      </w:tr>
      <w:tr>
        <w:tblPrEx>
          <w:tblLayout w:type="fixed"/>
          <w:tblCellMar>
            <w:top w:w="0" w:type="dxa"/>
            <w:left w:w="0" w:type="dxa"/>
            <w:bottom w:w="0" w:type="dxa"/>
            <w:right w:w="0" w:type="dxa"/>
          </w:tblCellMar>
        </w:tblPrEx>
        <w:trPr>
          <w:trHeight w:val="42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3</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工作基站设置</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个</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6000</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含全站仪托架、强制对中盘及其安装费</w:t>
            </w:r>
          </w:p>
        </w:tc>
      </w:tr>
      <w:tr>
        <w:tblPrEx>
          <w:tblLayout w:type="fixed"/>
          <w:tblCellMar>
            <w:top w:w="0" w:type="dxa"/>
            <w:left w:w="0" w:type="dxa"/>
            <w:bottom w:w="0" w:type="dxa"/>
            <w:right w:w="0" w:type="dxa"/>
          </w:tblCellMar>
        </w:tblPrEx>
        <w:trPr>
          <w:trHeight w:val="36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4</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供电设置</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套</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3200</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含配电箱组、供电电缆及其安装费</w:t>
            </w:r>
          </w:p>
        </w:tc>
      </w:tr>
      <w:tr>
        <w:tblPrEx>
          <w:tblLayout w:type="fixed"/>
          <w:tblCellMar>
            <w:top w:w="0" w:type="dxa"/>
            <w:left w:w="0" w:type="dxa"/>
            <w:bottom w:w="0" w:type="dxa"/>
            <w:right w:w="0" w:type="dxa"/>
          </w:tblCellMar>
        </w:tblPrEx>
        <w:trPr>
          <w:trHeight w:val="36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5</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通讯设置</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套</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7040</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含通讯设备、线缆及其安装费</w:t>
            </w:r>
          </w:p>
        </w:tc>
      </w:tr>
      <w:tr>
        <w:tblPrEx>
          <w:tblLayout w:type="fixed"/>
          <w:tblCellMar>
            <w:top w:w="0" w:type="dxa"/>
            <w:left w:w="0" w:type="dxa"/>
            <w:bottom w:w="0" w:type="dxa"/>
            <w:right w:w="0" w:type="dxa"/>
          </w:tblCellMar>
        </w:tblPrEx>
        <w:trPr>
          <w:trHeight w:val="30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6</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自动化数据采集</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月</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台</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10000</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包含自动化监测采集费、设备折旧费</w:t>
            </w:r>
          </w:p>
        </w:tc>
      </w:tr>
      <w:tr>
        <w:tblPrEx>
          <w:shd w:val="clear" w:color="auto" w:fill="auto"/>
          <w:tblLayout w:type="fixed"/>
          <w:tblCellMar>
            <w:top w:w="0" w:type="dxa"/>
            <w:left w:w="0" w:type="dxa"/>
            <w:bottom w:w="0" w:type="dxa"/>
            <w:right w:w="0" w:type="dxa"/>
          </w:tblCellMar>
        </w:tblPrEx>
        <w:trPr>
          <w:trHeight w:val="420" w:hRule="atLeast"/>
        </w:trPr>
        <w:tc>
          <w:tcPr>
            <w:tcW w:w="14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7</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自动化数据处理</w:t>
            </w:r>
          </w:p>
        </w:tc>
        <w:tc>
          <w:tcPr>
            <w:tcW w:w="1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highlight w:val="none"/>
                <w:u w:val="none"/>
                <w14:textFill>
                  <w14:solidFill>
                    <w14:schemeClr w14:val="tx1"/>
                  </w14:solidFill>
                </w14:textFill>
              </w:rPr>
            </w:pP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元</w:t>
            </w: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w:t>
            </w:r>
            <w:r>
              <w:rPr>
                <w:rFonts w:hint="eastAsia" w:ascii="宋体" w:hAnsi="宋体" w:eastAsia="宋体" w:cs="宋体"/>
                <w:i w:val="0"/>
                <w:color w:val="000000" w:themeColor="text1"/>
                <w:kern w:val="0"/>
                <w:sz w:val="22"/>
                <w:szCs w:val="22"/>
                <w:highlight w:val="none"/>
                <w:u w:val="none"/>
                <w:lang w:val="en-US" w:eastAsia="zh-CN" w:bidi="ar"/>
                <w14:textFill>
                  <w14:solidFill>
                    <w14:schemeClr w14:val="tx1"/>
                  </w14:solidFill>
                </w14:textFill>
              </w:rPr>
              <w:t>月</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2"/>
                <w:szCs w:val="22"/>
                <w:highlight w:val="none"/>
                <w:u w:val="none"/>
                <w14:textFill>
                  <w14:solidFill>
                    <w14:schemeClr w14:val="tx1"/>
                  </w14:solidFill>
                </w14:textFill>
              </w:rPr>
            </w:pPr>
            <w:r>
              <w:rPr>
                <w:rFonts w:hint="default" w:ascii="Times New Roman" w:hAnsi="Times New Roman" w:eastAsia="宋体" w:cs="Times New Roman"/>
                <w:i w:val="0"/>
                <w:color w:val="000000" w:themeColor="text1"/>
                <w:kern w:val="0"/>
                <w:sz w:val="22"/>
                <w:szCs w:val="22"/>
                <w:highlight w:val="none"/>
                <w:u w:val="none"/>
                <w:lang w:val="en-US" w:eastAsia="zh-CN" w:bidi="ar"/>
                <w14:textFill>
                  <w14:solidFill>
                    <w14:schemeClr w14:val="tx1"/>
                  </w14:solidFill>
                </w14:textFill>
              </w:rPr>
              <w:t>20000</w:t>
            </w:r>
          </w:p>
        </w:tc>
        <w:tc>
          <w:tcPr>
            <w:tcW w:w="21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6"/>
                <w:szCs w:val="16"/>
                <w:highlight w:val="none"/>
                <w:u w:val="none"/>
                <w14:textFill>
                  <w14:solidFill>
                    <w14:schemeClr w14:val="tx1"/>
                  </w14:solidFill>
                </w14:textFill>
              </w:rPr>
            </w:pPr>
            <w:r>
              <w:rPr>
                <w:rFonts w:hint="eastAsia" w:ascii="宋体" w:hAnsi="宋体" w:eastAsia="宋体" w:cs="宋体"/>
                <w:i w:val="0"/>
                <w:color w:val="000000" w:themeColor="text1"/>
                <w:kern w:val="0"/>
                <w:sz w:val="16"/>
                <w:szCs w:val="16"/>
                <w:highlight w:val="none"/>
                <w:u w:val="none"/>
                <w:lang w:val="en-US" w:eastAsia="zh-CN" w:bidi="ar"/>
                <w14:textFill>
                  <w14:solidFill>
                    <w14:schemeClr w14:val="tx1"/>
                  </w14:solidFill>
                </w14:textFill>
              </w:rPr>
              <w:t>包含监测系统维护和文件整理资料费、人员工资等</w:t>
            </w:r>
          </w:p>
        </w:tc>
      </w:tr>
    </w:tbl>
    <w:p>
      <w:p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br w:type="page"/>
      </w:r>
    </w:p>
    <w:p>
      <w:pPr>
        <w:numPr>
          <w:ilvl w:val="0"/>
          <w:numId w:val="0"/>
        </w:num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案例一：</w:t>
      </w:r>
    </w:p>
    <w:p>
      <w:pPr>
        <w:numPr>
          <w:ilvl w:val="0"/>
          <w:numId w:val="0"/>
        </w:num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一、某轨道交通项目第三方监测工程量清单如下表，试计算该工程第三方监测费。</w:t>
      </w:r>
    </w:p>
    <w:tbl>
      <w:tblPr>
        <w:tblStyle w:val="11"/>
        <w:tblW w:w="8336" w:type="dxa"/>
        <w:tblInd w:w="0" w:type="dxa"/>
        <w:shd w:val="clear" w:color="auto" w:fill="auto"/>
        <w:tblLayout w:type="fixed"/>
        <w:tblCellMar>
          <w:top w:w="0" w:type="dxa"/>
          <w:left w:w="0" w:type="dxa"/>
          <w:bottom w:w="0" w:type="dxa"/>
          <w:right w:w="0" w:type="dxa"/>
        </w:tblCellMar>
      </w:tblPr>
      <w:tblGrid>
        <w:gridCol w:w="890"/>
        <w:gridCol w:w="1874"/>
        <w:gridCol w:w="892"/>
        <w:gridCol w:w="894"/>
        <w:gridCol w:w="892"/>
        <w:gridCol w:w="892"/>
        <w:gridCol w:w="2002"/>
      </w:tblGrid>
      <w:tr>
        <w:tblPrEx>
          <w:shd w:val="clear" w:color="auto" w:fill="auto"/>
          <w:tblLayout w:type="fixed"/>
          <w:tblCellMar>
            <w:top w:w="0" w:type="dxa"/>
            <w:left w:w="0" w:type="dxa"/>
            <w:bottom w:w="0" w:type="dxa"/>
            <w:right w:w="0" w:type="dxa"/>
          </w:tblCellMar>
        </w:tblPrEx>
        <w:trPr>
          <w:trHeight w:val="940" w:hRule="atLeast"/>
        </w:trPr>
        <w:tc>
          <w:tcPr>
            <w:tcW w:w="8336" w:type="dxa"/>
            <w:gridSpan w:val="7"/>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8"/>
                <w:szCs w:val="28"/>
                <w:highlight w:val="none"/>
                <w:u w:val="none"/>
                <w14:textFill>
                  <w14:solidFill>
                    <w14:schemeClr w14:val="tx1"/>
                  </w14:solidFill>
                </w14:textFill>
              </w:rPr>
            </w:pPr>
            <w:r>
              <w:rPr>
                <w:rFonts w:hint="eastAsia" w:ascii="宋体" w:hAnsi="宋体" w:eastAsia="宋体" w:cs="宋体"/>
                <w:b/>
                <w:i w:val="0"/>
                <w:color w:val="000000" w:themeColor="text1"/>
                <w:kern w:val="0"/>
                <w:sz w:val="28"/>
                <w:szCs w:val="28"/>
                <w:highlight w:val="none"/>
                <w:u w:val="none"/>
                <w:lang w:val="en-US" w:eastAsia="zh-CN" w:bidi="ar"/>
                <w14:textFill>
                  <w14:solidFill>
                    <w14:schemeClr w14:val="tx1"/>
                  </w14:solidFill>
                </w14:textFill>
              </w:rPr>
              <w:t>XX轨道交通工程第三方监测项目工程量清单</w:t>
            </w:r>
          </w:p>
        </w:tc>
      </w:tr>
      <w:tr>
        <w:tblPrEx>
          <w:tblLayout w:type="fixed"/>
          <w:tblCellMar>
            <w:top w:w="0" w:type="dxa"/>
            <w:left w:w="0" w:type="dxa"/>
            <w:bottom w:w="0" w:type="dxa"/>
            <w:right w:w="0" w:type="dxa"/>
          </w:tblCellMar>
        </w:tblPrEx>
        <w:trPr>
          <w:trHeight w:val="285"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序号</w:t>
            </w:r>
          </w:p>
        </w:tc>
        <w:tc>
          <w:tcPr>
            <w:tcW w:w="187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监测项目</w:t>
            </w:r>
          </w:p>
        </w:tc>
        <w:tc>
          <w:tcPr>
            <w:tcW w:w="178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位置或监测对象</w:t>
            </w: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监测点数量</w:t>
            </w:r>
          </w:p>
        </w:tc>
        <w:tc>
          <w:tcPr>
            <w:tcW w:w="8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监测总次数</w:t>
            </w:r>
          </w:p>
        </w:tc>
        <w:tc>
          <w:tcPr>
            <w:tcW w:w="200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备注</w:t>
            </w:r>
          </w:p>
        </w:tc>
      </w:tr>
      <w:tr>
        <w:tblPrEx>
          <w:tblLayout w:type="fixed"/>
          <w:tblCellMar>
            <w:top w:w="0" w:type="dxa"/>
            <w:left w:w="0" w:type="dxa"/>
            <w:bottom w:w="0" w:type="dxa"/>
            <w:right w:w="0" w:type="dxa"/>
          </w:tblCellMar>
        </w:tblPrEx>
        <w:trPr>
          <w:trHeight w:val="285"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c>
          <w:tcPr>
            <w:tcW w:w="187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单位</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数量</w:t>
            </w: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c>
          <w:tcPr>
            <w:tcW w:w="8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c>
          <w:tcPr>
            <w:tcW w:w="20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67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一</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车站及附属工程（包括中间风井）</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67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1</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基坑（含出入口等附属工程）</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67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1.1</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支护结构桩(墙)顶水平及竖向位移</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308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580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129884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67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1.2</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支护桩（墙）体水平位移</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221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406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94148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5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1.3</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立柱结构竖向位移</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55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47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11592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5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1.4</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立柱结构水平位移</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55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54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13104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1.5</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支撑轴力</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根</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509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546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116697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5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1.6</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基坑周围地表沉降</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343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1819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421398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1.7</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地下水位</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212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400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92982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67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1.8</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土体分层竖向、水平位移</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96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282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67494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5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1.9</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坑底隆起（回弹）</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117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131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18722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67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1.10 </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支护桩（墙）侧向土压力</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44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77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24150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1.11</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孔隙水压力</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测点</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59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77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24150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67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1.12</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竖井井壁支护结构净空收敛</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根</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10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40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8640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5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1.13</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建筑物裂缝宽度监测</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条</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108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216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48912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5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1.14</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周边管线变形</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米</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5454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544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123400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5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1.15</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主体结构板净空收敛</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8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6</w:t>
            </w:r>
          </w:p>
        </w:tc>
        <w:tc>
          <w:tcPr>
            <w:tcW w:w="8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36</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2520</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67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2</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建筑物竖向、水平位移、倾斜</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67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2.1</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建（构）筑物沉降、倾斜</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栋</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83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351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84240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单位为元/栋</w:t>
            </w:r>
          </w:p>
        </w:tc>
      </w:tr>
      <w:tr>
        <w:tblPrEx>
          <w:tblLayout w:type="fixed"/>
          <w:tblCellMar>
            <w:top w:w="0" w:type="dxa"/>
            <w:left w:w="0" w:type="dxa"/>
            <w:bottom w:w="0" w:type="dxa"/>
            <w:right w:w="0" w:type="dxa"/>
          </w:tblCellMar>
        </w:tblPrEx>
        <w:trPr>
          <w:trHeight w:val="45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2.2</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桥梁墩台差异沉降</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点</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131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154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34220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5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2.3</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桥梁墩柱倾斜</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组</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131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239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68440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5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2.4</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桥梁墩台竖向位移</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点</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131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131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34220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5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2.5</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桥梁结构裂缝</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条</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73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73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20200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5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出入口顶管法施工段</w:t>
            </w:r>
          </w:p>
        </w:tc>
        <w:tc>
          <w:tcPr>
            <w:tcW w:w="892" w:type="dxa"/>
            <w:tcBorders>
              <w:top w:val="nil"/>
              <w:left w:val="nil"/>
              <w:bottom w:val="nil"/>
              <w:right w:val="nil"/>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5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3.1</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周围地表隆陷</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39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271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29808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67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3.2</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顶管水平位移和沉降监测</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53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159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41688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5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出入口暗挖段</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67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4.1</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初期围护结构拱顶(部)沉降</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12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2052</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5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4.2</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初期围护结构净空收敛</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12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2052</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67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4.3</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围岩压力及支护间接触应力</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20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2376</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4.4</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地下水位</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测点</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432</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5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4.5</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地表沉降测点</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测点</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20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220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35100</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67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4.6</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土体分层竖向、水平位移</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432</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67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4.7</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初期支护结构、二次衬砌应力</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432</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4.8</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隧底隆起</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测点</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8</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16</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96</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90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二</w:t>
            </w:r>
          </w:p>
        </w:tc>
        <w:tc>
          <w:tcPr>
            <w:tcW w:w="187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盾构法隧道（含联络通道等附属工程）</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67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1.1</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管片结构竖向、水平位移</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364</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1458 </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66930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5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1.2</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管片净空收敛</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609</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2439 </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112204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每个断面2条测线</w:t>
            </w:r>
          </w:p>
        </w:tc>
      </w:tr>
      <w:tr>
        <w:tblPrEx>
          <w:tblLayout w:type="fixed"/>
          <w:tblCellMar>
            <w:top w:w="0" w:type="dxa"/>
            <w:left w:w="0" w:type="dxa"/>
            <w:bottom w:w="0" w:type="dxa"/>
            <w:right w:w="0" w:type="dxa"/>
          </w:tblCellMar>
        </w:tblPrEx>
        <w:trPr>
          <w:trHeight w:val="45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1.3</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地表隆陷</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883 </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13242 </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455316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每个断面15个点</w:t>
            </w:r>
          </w:p>
        </w:tc>
      </w:tr>
      <w:tr>
        <w:tblPrEx>
          <w:shd w:val="clear" w:color="auto" w:fill="auto"/>
          <w:tblLayout w:type="fixed"/>
          <w:tblCellMar>
            <w:top w:w="0" w:type="dxa"/>
            <w:left w:w="0" w:type="dxa"/>
            <w:bottom w:w="0" w:type="dxa"/>
            <w:right w:w="0" w:type="dxa"/>
          </w:tblCellMar>
        </w:tblPrEx>
        <w:trPr>
          <w:trHeight w:val="67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1.4</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管片结构应力</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364</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1822 </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83663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每个监测断面不少于5个测点</w:t>
            </w:r>
          </w:p>
        </w:tc>
      </w:tr>
      <w:tr>
        <w:tblPrEx>
          <w:tblLayout w:type="fixed"/>
          <w:tblCellMar>
            <w:top w:w="0" w:type="dxa"/>
            <w:left w:w="0" w:type="dxa"/>
            <w:bottom w:w="0" w:type="dxa"/>
            <w:right w:w="0" w:type="dxa"/>
          </w:tblCellMar>
        </w:tblPrEx>
        <w:trPr>
          <w:trHeight w:val="67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1.5</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管片连接螺栓应力</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364</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1822 </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83663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每个监测断面不少于5个测点</w:t>
            </w:r>
          </w:p>
        </w:tc>
      </w:tr>
      <w:tr>
        <w:tblPrEx>
          <w:shd w:val="clear" w:color="auto" w:fill="auto"/>
          <w:tblLayout w:type="fixed"/>
          <w:tblCellMar>
            <w:top w:w="0" w:type="dxa"/>
            <w:left w:w="0" w:type="dxa"/>
            <w:bottom w:w="0" w:type="dxa"/>
            <w:right w:w="0" w:type="dxa"/>
          </w:tblCellMar>
        </w:tblPrEx>
        <w:trPr>
          <w:trHeight w:val="67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1.6</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土体深层水平位移和分层竖向位移</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292</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2559 </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91376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67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1.7</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管片围岩压力</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292</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1462 </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58463 </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每个监测断面不少于5个测点</w:t>
            </w:r>
          </w:p>
        </w:tc>
      </w:tr>
      <w:tr>
        <w:tblPrEx>
          <w:tblLayout w:type="fixed"/>
          <w:tblCellMar>
            <w:top w:w="0" w:type="dxa"/>
            <w:left w:w="0" w:type="dxa"/>
            <w:bottom w:w="0" w:type="dxa"/>
            <w:right w:w="0" w:type="dxa"/>
          </w:tblCellMar>
        </w:tblPrEx>
        <w:trPr>
          <w:trHeight w:val="45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1.9</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建筑物裂缝宽度监测</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条</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556</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1511</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134796</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5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1.10 </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周边管线变形</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米</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19425</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1944</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180324</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67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2</w:t>
            </w:r>
          </w:p>
        </w:tc>
        <w:tc>
          <w:tcPr>
            <w:tcW w:w="1874"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建筑物竖向、水平位移、倾斜</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675"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2.1</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建（构）筑物沉降、倾斜</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栋</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124</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1311</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128796</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单位为元/栋</w:t>
            </w:r>
          </w:p>
        </w:tc>
      </w:tr>
      <w:tr>
        <w:tblPrEx>
          <w:tblLayout w:type="fixed"/>
          <w:tblCellMar>
            <w:top w:w="0" w:type="dxa"/>
            <w:left w:w="0" w:type="dxa"/>
            <w:bottom w:w="0" w:type="dxa"/>
            <w:right w:w="0" w:type="dxa"/>
          </w:tblCellMar>
        </w:tblPrEx>
        <w:trPr>
          <w:trHeight w:val="45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2.2</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桥梁墩台差异沉降</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点</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390</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390</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19950</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5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2.3</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桥梁墩柱倾斜</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组</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390</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780</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39900</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5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2.4</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桥梁墩台竖向位移</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点</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390</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390</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19950</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50" w:hRule="atLeast"/>
        </w:trPr>
        <w:tc>
          <w:tcPr>
            <w:tcW w:w="8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2.5</w:t>
            </w:r>
          </w:p>
        </w:tc>
        <w:tc>
          <w:tcPr>
            <w:tcW w:w="18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桥梁结构裂缝</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条</w:t>
            </w:r>
          </w:p>
        </w:tc>
        <w:tc>
          <w:tcPr>
            <w:tcW w:w="8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252</w:t>
            </w:r>
          </w:p>
        </w:tc>
        <w:tc>
          <w:tcPr>
            <w:tcW w:w="8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506</w:t>
            </w:r>
          </w:p>
        </w:tc>
        <w:tc>
          <w:tcPr>
            <w:tcW w:w="8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48108</w:t>
            </w:r>
          </w:p>
        </w:tc>
        <w:tc>
          <w:tcPr>
            <w:tcW w:w="20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276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highlight w:val="none"/>
                <w:u w:val="none"/>
                <w14:textFill>
                  <w14:solidFill>
                    <w14:schemeClr w14:val="tx1"/>
                  </w14:solidFill>
                </w14:textFill>
              </w:rPr>
            </w:pPr>
            <w:r>
              <w:rPr>
                <w:rFonts w:hint="eastAsia" w:ascii="宋体" w:hAnsi="宋体" w:eastAsia="宋体" w:cs="宋体"/>
                <w:b/>
                <w:i w:val="0"/>
                <w:color w:val="000000" w:themeColor="text1"/>
                <w:kern w:val="0"/>
                <w:sz w:val="20"/>
                <w:szCs w:val="20"/>
                <w:highlight w:val="none"/>
                <w:u w:val="none"/>
                <w:lang w:val="en-US" w:eastAsia="zh-CN" w:bidi="ar"/>
                <w14:textFill>
                  <w14:solidFill>
                    <w14:schemeClr w14:val="tx1"/>
                  </w14:solidFill>
                </w14:textFill>
              </w:rPr>
              <w:t>合计</w:t>
            </w:r>
          </w:p>
        </w:tc>
        <w:tc>
          <w:tcPr>
            <w:tcW w:w="8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b/>
                <w:i w:val="0"/>
                <w:color w:val="000000" w:themeColor="text1"/>
                <w:sz w:val="20"/>
                <w:szCs w:val="20"/>
                <w:highlight w:val="none"/>
                <w:u w:val="none"/>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b/>
                <w:i w:val="0"/>
                <w:color w:val="000000" w:themeColor="text1"/>
                <w:sz w:val="20"/>
                <w:szCs w:val="20"/>
                <w:highlight w:val="none"/>
                <w:u w:val="none"/>
                <w14:textFill>
                  <w14:solidFill>
                    <w14:schemeClr w14:val="tx1"/>
                  </w14:solidFill>
                </w14:textFill>
              </w:rPr>
            </w:pPr>
          </w:p>
        </w:tc>
        <w:tc>
          <w:tcPr>
            <w:tcW w:w="8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b/>
                <w:i w:val="0"/>
                <w:color w:val="000000" w:themeColor="text1"/>
                <w:sz w:val="20"/>
                <w:szCs w:val="20"/>
                <w:highlight w:val="none"/>
                <w:u w:val="none"/>
                <w14:textFill>
                  <w14:solidFill>
                    <w14:schemeClr w14:val="tx1"/>
                  </w14:solidFill>
                </w14:textFill>
              </w:rPr>
            </w:pP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themeColor="text1"/>
                <w:sz w:val="20"/>
                <w:szCs w:val="20"/>
                <w:highlight w:val="none"/>
                <w:u w:val="none"/>
                <w14:textFill>
                  <w14:solidFill>
                    <w14:schemeClr w14:val="tx1"/>
                  </w14:solidFill>
                </w14:textFill>
              </w:rPr>
            </w:pPr>
          </w:p>
        </w:tc>
        <w:tc>
          <w:tcPr>
            <w:tcW w:w="20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b/>
                <w:i w:val="0"/>
                <w:color w:val="000000" w:themeColor="text1"/>
                <w:sz w:val="20"/>
                <w:szCs w:val="20"/>
                <w:highlight w:val="none"/>
                <w:u w:val="none"/>
                <w14:textFill>
                  <w14:solidFill>
                    <w14:schemeClr w14:val="tx1"/>
                  </w14:solidFill>
                </w14:textFill>
              </w:rPr>
            </w:pPr>
          </w:p>
        </w:tc>
      </w:tr>
    </w:tbl>
    <w:p>
      <w:pPr>
        <w:numPr>
          <w:ilvl w:val="0"/>
          <w:numId w:val="0"/>
        </w:num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br w:type="page"/>
      </w:r>
    </w:p>
    <w:p>
      <w:pPr>
        <w:numPr>
          <w:ilvl w:val="0"/>
          <w:numId w:val="0"/>
        </w:num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该工程第三方监测费计算如下表：</w:t>
      </w:r>
    </w:p>
    <w:tbl>
      <w:tblPr>
        <w:tblStyle w:val="11"/>
        <w:tblW w:w="8336" w:type="dxa"/>
        <w:tblInd w:w="0" w:type="dxa"/>
        <w:shd w:val="clear" w:color="auto" w:fill="auto"/>
        <w:tblLayout w:type="fixed"/>
        <w:tblCellMar>
          <w:top w:w="0" w:type="dxa"/>
          <w:left w:w="0" w:type="dxa"/>
          <w:bottom w:w="0" w:type="dxa"/>
          <w:right w:w="0" w:type="dxa"/>
        </w:tblCellMar>
      </w:tblPr>
      <w:tblGrid>
        <w:gridCol w:w="690"/>
        <w:gridCol w:w="1473"/>
        <w:gridCol w:w="690"/>
        <w:gridCol w:w="692"/>
        <w:gridCol w:w="690"/>
        <w:gridCol w:w="690"/>
        <w:gridCol w:w="691"/>
        <w:gridCol w:w="1140"/>
        <w:gridCol w:w="1580"/>
      </w:tblGrid>
      <w:tr>
        <w:tblPrEx>
          <w:tblLayout w:type="fixed"/>
          <w:tblCellMar>
            <w:top w:w="0" w:type="dxa"/>
            <w:left w:w="0" w:type="dxa"/>
            <w:bottom w:w="0" w:type="dxa"/>
            <w:right w:w="0" w:type="dxa"/>
          </w:tblCellMar>
        </w:tblPrEx>
        <w:trPr>
          <w:trHeight w:val="940" w:hRule="atLeast"/>
        </w:trPr>
        <w:tc>
          <w:tcPr>
            <w:tcW w:w="8336" w:type="dxa"/>
            <w:gridSpan w:val="9"/>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8"/>
                <w:szCs w:val="28"/>
                <w:highlight w:val="none"/>
                <w:u w:val="none"/>
                <w14:textFill>
                  <w14:solidFill>
                    <w14:schemeClr w14:val="tx1"/>
                  </w14:solidFill>
                </w14:textFill>
              </w:rPr>
            </w:pPr>
            <w:r>
              <w:rPr>
                <w:rFonts w:hint="eastAsia" w:ascii="宋体" w:hAnsi="宋体" w:eastAsia="宋体" w:cs="宋体"/>
                <w:b/>
                <w:i w:val="0"/>
                <w:color w:val="000000" w:themeColor="text1"/>
                <w:kern w:val="0"/>
                <w:sz w:val="28"/>
                <w:szCs w:val="28"/>
                <w:highlight w:val="none"/>
                <w:u w:val="none"/>
                <w:lang w:val="en-US" w:eastAsia="zh-CN" w:bidi="ar"/>
                <w14:textFill>
                  <w14:solidFill>
                    <w14:schemeClr w14:val="tx1"/>
                  </w14:solidFill>
                </w14:textFill>
              </w:rPr>
              <w:t>XX轨道交通工程第三方监测项目招标控制价</w:t>
            </w:r>
          </w:p>
        </w:tc>
      </w:tr>
      <w:tr>
        <w:tblPrEx>
          <w:shd w:val="clear" w:color="auto" w:fill="auto"/>
          <w:tblLayout w:type="fixed"/>
          <w:tblCellMar>
            <w:top w:w="0" w:type="dxa"/>
            <w:left w:w="0" w:type="dxa"/>
            <w:bottom w:w="0" w:type="dxa"/>
            <w:right w:w="0" w:type="dxa"/>
          </w:tblCellMar>
        </w:tblPrEx>
        <w:trPr>
          <w:trHeight w:val="285" w:hRule="atLeast"/>
        </w:trPr>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序号</w:t>
            </w:r>
          </w:p>
        </w:tc>
        <w:tc>
          <w:tcPr>
            <w:tcW w:w="147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监测项目</w:t>
            </w:r>
          </w:p>
        </w:tc>
        <w:tc>
          <w:tcPr>
            <w:tcW w:w="1382"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位置或监测对象</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监测点数量</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监测总次数</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单价（元）</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合价（元）</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备注</w:t>
            </w:r>
          </w:p>
        </w:tc>
      </w:tr>
      <w:tr>
        <w:tblPrEx>
          <w:tblLayout w:type="fixed"/>
          <w:tblCellMar>
            <w:top w:w="0" w:type="dxa"/>
            <w:left w:w="0" w:type="dxa"/>
            <w:bottom w:w="0" w:type="dxa"/>
            <w:right w:w="0" w:type="dxa"/>
          </w:tblCellMar>
        </w:tblPrEx>
        <w:trPr>
          <w:trHeight w:val="285" w:hRule="atLeast"/>
        </w:trPr>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c>
          <w:tcPr>
            <w:tcW w:w="147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单位</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0"/>
                <w:szCs w:val="20"/>
                <w:highlight w:val="none"/>
                <w:u w:val="none"/>
                <w14:textFill>
                  <w14:solidFill>
                    <w14:schemeClr w14:val="tx1"/>
                  </w14:solidFill>
                </w14:textFill>
              </w:rPr>
            </w:pPr>
            <w:r>
              <w:rPr>
                <w:rFonts w:hint="eastAsia" w:ascii="宋体" w:hAnsi="宋体" w:eastAsia="宋体" w:cs="宋体"/>
                <w:i w:val="0"/>
                <w:color w:val="000000" w:themeColor="text1"/>
                <w:kern w:val="0"/>
                <w:sz w:val="20"/>
                <w:szCs w:val="20"/>
                <w:highlight w:val="none"/>
                <w:u w:val="none"/>
                <w:lang w:val="en-US" w:eastAsia="zh-CN" w:bidi="ar"/>
                <w14:textFill>
                  <w14:solidFill>
                    <w14:schemeClr w14:val="tx1"/>
                  </w14:solidFill>
                </w14:textFill>
              </w:rPr>
              <w:t>数量</w:t>
            </w: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20"/>
                <w:szCs w:val="20"/>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5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一</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车站及附属工程（包括中间风井）</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5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1</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基坑（含出入口等附属工程）</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5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1.1</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支护结构桩(墙)顶水平及竖向位移</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308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580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129884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14.10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1831364.40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1.2</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支护桩（墙）体水平位移</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221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406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94148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8.50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800258.00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1.3</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立柱结构竖向位移</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55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47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11592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5.60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64915.20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1.4</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立柱结构水平位移</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55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54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13104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8.50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111384.00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1.5</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支撑轴力</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根</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509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546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116697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9.60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1120288.00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1.6</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基坑周围地表沉降</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343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1819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421398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5.60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2359828.80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1.7</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地下水位</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212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400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92982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8.70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808943.40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1.8</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土体分层竖向、水平位移</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96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282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67494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14.10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951665.40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1.9</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坑底隆起（回弹）</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117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131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18722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5.60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104843.20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1.10 </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支护桩（墙）侧向土压力</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44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77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24150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5.60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135240.00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1.11</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孔隙水压力</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测点</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59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77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24150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8.70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210105.00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5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1.12</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竖井井壁支护结构净空收敛</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根</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10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40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8640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5.60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48384.00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1.13</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建筑物裂缝宽度监测</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条</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108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216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48912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3.80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185865.60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1.14</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周边管线变形</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米</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5454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544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123400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3.80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468920.00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1.15</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主体结构板净空收敛</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6</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36</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2520</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5.60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14112.00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5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2</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建筑物竖向、水平位移、倾斜</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2.1</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建（构）筑物沉降、倾斜</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栋</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83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351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84240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4000.00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332000.00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单位为元/栋</w:t>
            </w:r>
          </w:p>
        </w:tc>
      </w:tr>
      <w:tr>
        <w:tblPrEx>
          <w:shd w:val="clear" w:color="auto" w:fill="auto"/>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2.2</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桥梁墩台差异沉降</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点</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131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154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34220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5.60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191632.00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2.3</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桥梁墩柱倾斜</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组</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131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239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68440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14.00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958160.00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2.4</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桥梁墩台竖向位移</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点</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131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131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34220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5.60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191632.00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2.5</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桥梁结构裂缝</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条</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73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73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20200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3.80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76760.00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i w:val="0"/>
                <w:color w:val="000000" w:themeColor="text1"/>
                <w:sz w:val="24"/>
                <w:szCs w:val="24"/>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出入口顶管法施工段</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3.1</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周围地表隆陷</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39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271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29808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5.60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166924.80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3.2</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顶管水平位移和沉降监测</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53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159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41688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14.10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587800.80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出入口暗挖段</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5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4.1</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初期围护结构拱顶(部)沉降</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12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2052</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5.60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11491.20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4.2</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初期围护结构净空收敛</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12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2052</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5.60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11491.20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50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4.3</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围岩压力及支护间接触应力</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20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2376</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9.60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22809.60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4.4</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地下水位</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测点</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432</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8.70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3758.40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4.5</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地表沉降测点</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测点</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20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220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35100</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5.60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196560.00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4.6</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土体分层竖向、水平位移</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432</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14.10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6091.20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5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4.7</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初期支护结构、二次衬砌应力</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432</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9.60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4147.20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4.8</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隧底隆起</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测点</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8</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16</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96</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5.60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537.60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45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二</w:t>
            </w:r>
          </w:p>
        </w:tc>
        <w:tc>
          <w:tcPr>
            <w:tcW w:w="147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盾构法隧道（含联络通道等附属工程）</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1.1</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管片结构竖向、水平位移</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364</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1458 </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66930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14.10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943718.64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1.2</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管片净空收敛</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609</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2439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112204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5.60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628342.40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每个断面2条测线</w:t>
            </w:r>
          </w:p>
        </w:tc>
      </w:tr>
      <w:tr>
        <w:tblPrEx>
          <w:shd w:val="clear" w:color="auto" w:fill="auto"/>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1.3</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地表隆陷</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883 </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13242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455316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5.60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2549769.60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每个断面15个点</w:t>
            </w: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1.4</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管片结构应力</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364</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1822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83663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9.60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803164.80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每个监测断面不少于5个测点</w:t>
            </w: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1.5</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管片连接螺栓应力</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364</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1822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83663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9.60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803164.80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每个监测断面不少于5个测点</w:t>
            </w:r>
          </w:p>
        </w:tc>
      </w:tr>
      <w:tr>
        <w:tblPrEx>
          <w:shd w:val="clear" w:color="auto" w:fill="auto"/>
          <w:tblLayout w:type="fixed"/>
          <w:tblCellMar>
            <w:top w:w="0" w:type="dxa"/>
            <w:left w:w="0" w:type="dxa"/>
            <w:bottom w:w="0" w:type="dxa"/>
            <w:right w:w="0" w:type="dxa"/>
          </w:tblCellMar>
        </w:tblPrEx>
        <w:trPr>
          <w:trHeight w:val="45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1.6</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土体深层水平位移和分层竖向位移</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292</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2559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91376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14.10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1288401.60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1.7</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管片围岩压力</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断面</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292</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1462 </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58463 </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5.60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327392.80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每个监测断面不少于5个测点</w:t>
            </w:r>
          </w:p>
        </w:tc>
      </w:tr>
      <w:tr>
        <w:tblPrEx>
          <w:shd w:val="clear" w:color="auto" w:fill="auto"/>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1.9</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建筑物裂缝宽度监测</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条</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556</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1511</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134796</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3.80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512224.80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1.10 </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周边管线变形</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米</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19425</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1944</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180324</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3.80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685231.20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450"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2</w:t>
            </w:r>
          </w:p>
        </w:tc>
        <w:tc>
          <w:tcPr>
            <w:tcW w:w="1473" w:type="dxa"/>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建筑物竖向、水平位移、倾斜</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2.1</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建（构）筑物沉降、倾斜</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栋</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124</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1311</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128796</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4000.00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496000.00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单位为元/栋</w:t>
            </w: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2.2</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桥梁墩台差异沉降</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点</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390</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390</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19950</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5.60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111720.00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2.3</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桥梁墩柱倾斜</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组</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390</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780</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39900</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14.00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558600.00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2.4</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桥梁墩台竖向位移</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点</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390</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390</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19950</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5.60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111720.00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2.5</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桥梁结构裂缝</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条</w:t>
            </w: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252</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506</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48108</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3.80 </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 xml:space="preserve">182810.40 </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三</w:t>
            </w:r>
          </w:p>
        </w:tc>
        <w:tc>
          <w:tcPr>
            <w:tcW w:w="1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themeColor="text1"/>
                <w:sz w:val="18"/>
                <w:szCs w:val="18"/>
                <w:highlight w:val="none"/>
                <w:u w:val="none"/>
                <w14:textFill>
                  <w14:solidFill>
                    <w14:schemeClr w14:val="tx1"/>
                  </w14:solidFill>
                </w14:textFill>
              </w:rPr>
            </w:pPr>
            <w:r>
              <w:rPr>
                <w:rFonts w:hint="eastAsia" w:ascii="宋体" w:hAnsi="宋体" w:eastAsia="宋体" w:cs="宋体"/>
                <w:b/>
                <w:i w:val="0"/>
                <w:color w:val="000000" w:themeColor="text1"/>
                <w:kern w:val="0"/>
                <w:sz w:val="18"/>
                <w:szCs w:val="18"/>
                <w:highlight w:val="none"/>
                <w:u w:val="none"/>
                <w:lang w:val="en-US" w:eastAsia="zh-CN" w:bidi="ar"/>
                <w14:textFill>
                  <w14:solidFill>
                    <w14:schemeClr w14:val="tx1"/>
                  </w14:solidFill>
                </w14:textFill>
              </w:rPr>
              <w:t>暂定金额</w:t>
            </w: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6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18"/>
                <w:szCs w:val="18"/>
                <w:highlight w:val="none"/>
                <w:u w:val="none"/>
                <w14:textFill>
                  <w14:solidFill>
                    <w14:schemeClr w14:val="tx1"/>
                  </w14:solidFill>
                </w14:textFill>
              </w:rPr>
            </w:pPr>
            <w:r>
              <w:rPr>
                <w:rFonts w:hint="eastAsia" w:ascii="宋体" w:hAnsi="宋体" w:eastAsia="宋体" w:cs="宋体"/>
                <w:i w:val="0"/>
                <w:color w:val="000000" w:themeColor="text1"/>
                <w:kern w:val="0"/>
                <w:sz w:val="18"/>
                <w:szCs w:val="18"/>
                <w:highlight w:val="none"/>
                <w:u w:val="none"/>
                <w:lang w:val="en-US" w:eastAsia="zh-CN" w:bidi="ar"/>
                <w14:textFill>
                  <w14:solidFill>
                    <w14:schemeClr w14:val="tx1"/>
                  </w14:solidFill>
                </w14:textFill>
              </w:rPr>
              <w:t>1099008.702</w:t>
            </w:r>
          </w:p>
        </w:tc>
        <w:tc>
          <w:tcPr>
            <w:tcW w:w="15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themeColor="text1"/>
                <w:sz w:val="18"/>
                <w:szCs w:val="18"/>
                <w:highlight w:val="none"/>
                <w:u w:val="none"/>
                <w14:textFill>
                  <w14:solidFill>
                    <w14:schemeClr w14:val="tx1"/>
                  </w14:solidFill>
                </w14:textFill>
              </w:rPr>
            </w:pPr>
          </w:p>
        </w:tc>
      </w:tr>
      <w:tr>
        <w:tblPrEx>
          <w:shd w:val="clear" w:color="auto" w:fill="auto"/>
          <w:tblLayout w:type="fixed"/>
          <w:tblCellMar>
            <w:top w:w="0" w:type="dxa"/>
            <w:left w:w="0" w:type="dxa"/>
            <w:bottom w:w="0" w:type="dxa"/>
            <w:right w:w="0" w:type="dxa"/>
          </w:tblCellMar>
        </w:tblPrEx>
        <w:trPr>
          <w:trHeight w:val="285" w:hRule="atLeast"/>
        </w:trPr>
        <w:tc>
          <w:tcPr>
            <w:tcW w:w="216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0"/>
                <w:szCs w:val="20"/>
                <w:highlight w:val="none"/>
                <w:u w:val="none"/>
                <w14:textFill>
                  <w14:solidFill>
                    <w14:schemeClr w14:val="tx1"/>
                  </w14:solidFill>
                </w14:textFill>
              </w:rPr>
            </w:pPr>
            <w:r>
              <w:rPr>
                <w:rFonts w:hint="eastAsia" w:ascii="宋体" w:hAnsi="宋体" w:eastAsia="宋体" w:cs="宋体"/>
                <w:b/>
                <w:i w:val="0"/>
                <w:color w:val="000000" w:themeColor="text1"/>
                <w:kern w:val="0"/>
                <w:sz w:val="20"/>
                <w:szCs w:val="20"/>
                <w:highlight w:val="none"/>
                <w:u w:val="none"/>
                <w:lang w:val="en-US" w:eastAsia="zh-CN" w:bidi="ar"/>
                <w14:textFill>
                  <w14:solidFill>
                    <w14:schemeClr w14:val="tx1"/>
                  </w14:solidFill>
                </w14:textFill>
              </w:rPr>
              <w:t>合计</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b/>
                <w:i w:val="0"/>
                <w:color w:val="000000" w:themeColor="text1"/>
                <w:sz w:val="20"/>
                <w:szCs w:val="20"/>
                <w:highlight w:val="none"/>
                <w:u w:val="none"/>
                <w14:textFill>
                  <w14:solidFill>
                    <w14:schemeClr w14:val="tx1"/>
                  </w14:solidFill>
                </w14:textFill>
              </w:rPr>
            </w:pPr>
          </w:p>
        </w:tc>
        <w:tc>
          <w:tcPr>
            <w:tcW w:w="69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b/>
                <w:i w:val="0"/>
                <w:color w:val="000000" w:themeColor="text1"/>
                <w:sz w:val="20"/>
                <w:szCs w:val="20"/>
                <w:highlight w:val="none"/>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b/>
                <w:i w:val="0"/>
                <w:color w:val="000000" w:themeColor="text1"/>
                <w:sz w:val="20"/>
                <w:szCs w:val="20"/>
                <w:highlight w:val="none"/>
                <w:u w:val="none"/>
                <w14:textFill>
                  <w14:solidFill>
                    <w14:schemeClr w14:val="tx1"/>
                  </w14:solidFill>
                </w14:textFill>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themeColor="text1"/>
                <w:sz w:val="20"/>
                <w:szCs w:val="20"/>
                <w:highlight w:val="none"/>
                <w:u w:val="none"/>
                <w14:textFill>
                  <w14:solidFill>
                    <w14:schemeClr w14:val="tx1"/>
                  </w14:solidFill>
                </w14:textFill>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themeColor="text1"/>
                <w:sz w:val="20"/>
                <w:szCs w:val="20"/>
                <w:highlight w:val="none"/>
                <w:u w:val="none"/>
                <w14:textFill>
                  <w14:solidFill>
                    <w14:schemeClr w14:val="tx1"/>
                  </w14:solidFill>
                </w14:textFill>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themeColor="text1"/>
                <w:sz w:val="20"/>
                <w:szCs w:val="20"/>
                <w:highlight w:val="none"/>
                <w:u w:val="none"/>
                <w14:textFill>
                  <w14:solidFill>
                    <w14:schemeClr w14:val="tx1"/>
                  </w14:solidFill>
                </w14:textFill>
              </w:rPr>
            </w:pPr>
            <w:r>
              <w:rPr>
                <w:rFonts w:hint="eastAsia" w:ascii="宋体" w:hAnsi="宋体" w:eastAsia="宋体" w:cs="宋体"/>
                <w:b/>
                <w:i w:val="0"/>
                <w:color w:val="000000" w:themeColor="text1"/>
                <w:kern w:val="0"/>
                <w:sz w:val="20"/>
                <w:szCs w:val="20"/>
                <w:highlight w:val="none"/>
                <w:u w:val="none"/>
                <w:lang w:val="en-US" w:eastAsia="zh-CN" w:bidi="ar"/>
                <w14:textFill>
                  <w14:solidFill>
                    <w14:schemeClr w14:val="tx1"/>
                  </w14:solidFill>
                </w14:textFill>
              </w:rPr>
              <w:t>23079182.74</w:t>
            </w:r>
          </w:p>
        </w:tc>
        <w:tc>
          <w:tcPr>
            <w:tcW w:w="15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hint="eastAsia" w:ascii="宋体" w:hAnsi="宋体" w:eastAsia="宋体" w:cs="宋体"/>
                <w:b/>
                <w:i w:val="0"/>
                <w:color w:val="000000" w:themeColor="text1"/>
                <w:sz w:val="20"/>
                <w:szCs w:val="20"/>
                <w:highlight w:val="none"/>
                <w:u w:val="none"/>
                <w14:textFill>
                  <w14:solidFill>
                    <w14:schemeClr w14:val="tx1"/>
                  </w14:solidFill>
                </w14:textFill>
              </w:rPr>
            </w:pPr>
          </w:p>
        </w:tc>
      </w:tr>
    </w:tbl>
    <w:p>
      <w:p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br w:type="page"/>
      </w:r>
    </w:p>
    <w:p>
      <w:pPr>
        <w:numPr>
          <w:ilvl w:val="0"/>
          <w:numId w:val="0"/>
        </w:num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案例二：某轨道交通项目实施自动化监测，工程量清单如下表，试计算该部分监测费用。</w:t>
      </w:r>
    </w:p>
    <w:tbl>
      <w:tblPr>
        <w:tblStyle w:val="11"/>
        <w:tblW w:w="8336" w:type="dxa"/>
        <w:tblInd w:w="0" w:type="dxa"/>
        <w:shd w:val="clear" w:color="auto" w:fill="auto"/>
        <w:tblLayout w:type="fixed"/>
        <w:tblCellMar>
          <w:top w:w="0" w:type="dxa"/>
          <w:left w:w="0" w:type="dxa"/>
          <w:bottom w:w="0" w:type="dxa"/>
          <w:right w:w="0" w:type="dxa"/>
        </w:tblCellMar>
      </w:tblPr>
      <w:tblGrid>
        <w:gridCol w:w="459"/>
        <w:gridCol w:w="3254"/>
        <w:gridCol w:w="690"/>
        <w:gridCol w:w="1105"/>
        <w:gridCol w:w="2828"/>
      </w:tblGrid>
      <w:tr>
        <w:tblPrEx>
          <w:tblLayout w:type="fixed"/>
          <w:tblCellMar>
            <w:top w:w="0" w:type="dxa"/>
            <w:left w:w="0" w:type="dxa"/>
            <w:bottom w:w="0" w:type="dxa"/>
            <w:right w:w="0" w:type="dxa"/>
          </w:tblCellMar>
        </w:tblPrEx>
        <w:trPr>
          <w:trHeight w:val="920" w:hRule="atLeast"/>
        </w:trPr>
        <w:tc>
          <w:tcPr>
            <w:tcW w:w="8336" w:type="dxa"/>
            <w:gridSpan w:val="5"/>
            <w:tcBorders>
              <w:top w:val="nil"/>
              <w:left w:val="nil"/>
              <w:bottom w:val="single" w:color="000000" w:sz="4" w:space="0"/>
              <w:right w:val="nil"/>
            </w:tcBorders>
            <w:shd w:val="clear" w:color="auto" w:fill="auto"/>
            <w:tcMar>
              <w:top w:w="15" w:type="dxa"/>
              <w:left w:w="15" w:type="dxa"/>
              <w:right w:w="15" w:type="dxa"/>
            </w:tcMar>
            <w:vAlign w:val="center"/>
          </w:tcPr>
          <w:p>
            <w:pPr>
              <w:numPr>
                <w:ilvl w:val="0"/>
                <w:numId w:val="0"/>
              </w:numPr>
              <w:jc w:val="center"/>
              <w:rPr>
                <w:rFonts w:hint="eastAsia" w:asciiTheme="minorEastAsia" w:hAnsiTheme="minorEastAsia" w:eastAsiaTheme="minorEastAsia" w:cstheme="minorEastAsia"/>
                <w:b/>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14:textFill>
                  <w14:solidFill>
                    <w14:schemeClr w14:val="tx1"/>
                  </w14:solidFill>
                </w14:textFill>
              </w:rPr>
              <w:t>XX轨道工程第三方监测项目工程量清单</w:t>
            </w:r>
          </w:p>
        </w:tc>
      </w:tr>
      <w:tr>
        <w:tblPrEx>
          <w:tblLayout w:type="fixed"/>
          <w:tblCellMar>
            <w:top w:w="0" w:type="dxa"/>
            <w:left w:w="0" w:type="dxa"/>
            <w:bottom w:w="0" w:type="dxa"/>
            <w:right w:w="0" w:type="dxa"/>
          </w:tblCellMar>
        </w:tblPrEx>
        <w:trPr>
          <w:trHeight w:val="500" w:hRule="atLeast"/>
        </w:trPr>
        <w:tc>
          <w:tcPr>
            <w:tcW w:w="4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
                <w14:textFill>
                  <w14:solidFill>
                    <w14:schemeClr w14:val="tx1"/>
                  </w14:solidFill>
                </w14:textFill>
              </w:rPr>
              <w:t>序号</w:t>
            </w:r>
          </w:p>
        </w:tc>
        <w:tc>
          <w:tcPr>
            <w:tcW w:w="325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
                <w14:textFill>
                  <w14:solidFill>
                    <w14:schemeClr w14:val="tx1"/>
                  </w14:solidFill>
                </w14:textFill>
              </w:rPr>
              <w:t>工程监测项目</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
                <w14:textFill>
                  <w14:solidFill>
                    <w14:schemeClr w14:val="tx1"/>
                  </w14:solidFill>
                </w14:textFill>
              </w:rPr>
              <w:t>单位</w:t>
            </w:r>
          </w:p>
        </w:tc>
        <w:tc>
          <w:tcPr>
            <w:tcW w:w="11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highlight w:val="none"/>
                <w:u w:val="none"/>
                <w:lang w:val="en-US" w:eastAsia="zh-CN" w:bidi="ar"/>
                <w14:textFill>
                  <w14:solidFill>
                    <w14:schemeClr w14:val="tx1"/>
                  </w14:solidFill>
                </w14:textFill>
              </w:rPr>
              <w:t>工程量</w:t>
            </w:r>
          </w:p>
        </w:tc>
        <w:tc>
          <w:tcPr>
            <w:tcW w:w="28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highlight w:val="none"/>
                <w:u w:val="none"/>
                <w:lang w:val="en-US" w:eastAsia="zh-CN" w:bidi="ar"/>
                <w14:textFill>
                  <w14:solidFill>
                    <w14:schemeClr w14:val="tx1"/>
                  </w14:solidFill>
                </w14:textFill>
              </w:rPr>
              <w:t>备注</w:t>
            </w:r>
          </w:p>
        </w:tc>
      </w:tr>
      <w:tr>
        <w:tblPrEx>
          <w:tblLayout w:type="fixed"/>
          <w:tblCellMar>
            <w:top w:w="0" w:type="dxa"/>
            <w:left w:w="0" w:type="dxa"/>
            <w:bottom w:w="0" w:type="dxa"/>
            <w:right w:w="0" w:type="dxa"/>
          </w:tblCellMar>
        </w:tblPrEx>
        <w:trPr>
          <w:trHeight w:val="500" w:hRule="atLeast"/>
        </w:trPr>
        <w:tc>
          <w:tcPr>
            <w:tcW w:w="4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c>
          <w:tcPr>
            <w:tcW w:w="325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c>
          <w:tcPr>
            <w:tcW w:w="11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p>
        </w:tc>
        <w:tc>
          <w:tcPr>
            <w:tcW w:w="28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285"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highlight w:val="none"/>
                <w:u w:val="none"/>
                <w:lang w:val="en-US" w:eastAsia="zh-CN" w:bidi="ar"/>
                <w14:textFill>
                  <w14:solidFill>
                    <w14:schemeClr w14:val="tx1"/>
                  </w14:solidFill>
                </w14:textFill>
              </w:rPr>
              <w:t>1</w:t>
            </w:r>
          </w:p>
        </w:tc>
        <w:tc>
          <w:tcPr>
            <w:tcW w:w="3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监测点布置</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个</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highlight w:val="none"/>
                <w:u w:val="none"/>
                <w:lang w:val="en-US" w:eastAsia="zh-CN" w:bidi="ar"/>
                <w14:textFill>
                  <w14:solidFill>
                    <w14:schemeClr w14:val="tx1"/>
                  </w14:solidFill>
                </w14:textFill>
              </w:rPr>
              <w:t>600</w:t>
            </w:r>
          </w:p>
        </w:tc>
        <w:tc>
          <w:tcPr>
            <w:tcW w:w="2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16"/>
                <w:szCs w:val="16"/>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6"/>
                <w:szCs w:val="16"/>
                <w:highlight w:val="none"/>
                <w:u w:val="none"/>
                <w:lang w:val="en-US" w:eastAsia="zh-CN" w:bidi="ar"/>
                <w14:textFill>
                  <w14:solidFill>
                    <w14:schemeClr w14:val="tx1"/>
                  </w14:solidFill>
                </w14:textFill>
              </w:rPr>
              <w:t>含微型棱镜、支架及其安装费</w:t>
            </w:r>
          </w:p>
        </w:tc>
      </w:tr>
      <w:tr>
        <w:tblPrEx>
          <w:tblLayout w:type="fixed"/>
          <w:tblCellMar>
            <w:top w:w="0" w:type="dxa"/>
            <w:left w:w="0" w:type="dxa"/>
            <w:bottom w:w="0" w:type="dxa"/>
            <w:right w:w="0" w:type="dxa"/>
          </w:tblCellMar>
        </w:tblPrEx>
        <w:trPr>
          <w:trHeight w:val="285"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highlight w:val="none"/>
                <w:u w:val="none"/>
                <w:lang w:val="en-US" w:eastAsia="zh-CN" w:bidi="ar"/>
                <w14:textFill>
                  <w14:solidFill>
                    <w14:schemeClr w14:val="tx1"/>
                  </w14:solidFill>
                </w14:textFill>
              </w:rPr>
              <w:t>2</w:t>
            </w:r>
          </w:p>
        </w:tc>
        <w:tc>
          <w:tcPr>
            <w:tcW w:w="3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基准点设置</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个</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highlight w:val="none"/>
                <w:u w:val="none"/>
                <w:lang w:val="en-US" w:eastAsia="zh-CN" w:bidi="ar"/>
                <w14:textFill>
                  <w14:solidFill>
                    <w14:schemeClr w14:val="tx1"/>
                  </w14:solidFill>
                </w14:textFill>
              </w:rPr>
              <w:t>30</w:t>
            </w:r>
          </w:p>
        </w:tc>
        <w:tc>
          <w:tcPr>
            <w:tcW w:w="2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16"/>
                <w:szCs w:val="16"/>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6"/>
                <w:szCs w:val="16"/>
                <w:highlight w:val="none"/>
                <w:u w:val="none"/>
                <w:lang w:val="en-US" w:eastAsia="zh-CN" w:bidi="ar"/>
                <w14:textFill>
                  <w14:solidFill>
                    <w14:schemeClr w14:val="tx1"/>
                  </w14:solidFill>
                </w14:textFill>
              </w:rPr>
              <w:t>含单棱镜、支架及其安装费</w:t>
            </w:r>
          </w:p>
        </w:tc>
      </w:tr>
      <w:tr>
        <w:tblPrEx>
          <w:tblLayout w:type="fixed"/>
          <w:tblCellMar>
            <w:top w:w="0" w:type="dxa"/>
            <w:left w:w="0" w:type="dxa"/>
            <w:bottom w:w="0" w:type="dxa"/>
            <w:right w:w="0" w:type="dxa"/>
          </w:tblCellMar>
        </w:tblPrEx>
        <w:trPr>
          <w:trHeight w:val="285"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highlight w:val="none"/>
                <w:u w:val="none"/>
                <w:lang w:val="en-US" w:eastAsia="zh-CN" w:bidi="ar"/>
                <w14:textFill>
                  <w14:solidFill>
                    <w14:schemeClr w14:val="tx1"/>
                  </w14:solidFill>
                </w14:textFill>
              </w:rPr>
              <w:t>3</w:t>
            </w:r>
          </w:p>
        </w:tc>
        <w:tc>
          <w:tcPr>
            <w:tcW w:w="3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工作基站设置</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个</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highlight w:val="none"/>
                <w:u w:val="none"/>
                <w:lang w:val="en-US" w:eastAsia="zh-CN" w:bidi="ar"/>
                <w14:textFill>
                  <w14:solidFill>
                    <w14:schemeClr w14:val="tx1"/>
                  </w14:solidFill>
                </w14:textFill>
              </w:rPr>
              <w:t>6</w:t>
            </w:r>
          </w:p>
        </w:tc>
        <w:tc>
          <w:tcPr>
            <w:tcW w:w="2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16"/>
                <w:szCs w:val="16"/>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6"/>
                <w:szCs w:val="16"/>
                <w:highlight w:val="none"/>
                <w:u w:val="none"/>
                <w:lang w:val="en-US" w:eastAsia="zh-CN" w:bidi="ar"/>
                <w14:textFill>
                  <w14:solidFill>
                    <w14:schemeClr w14:val="tx1"/>
                  </w14:solidFill>
                </w14:textFill>
              </w:rPr>
              <w:t>含全站仪托架、强制对中盘及其安装费</w:t>
            </w:r>
          </w:p>
        </w:tc>
      </w:tr>
      <w:tr>
        <w:tblPrEx>
          <w:tblLayout w:type="fixed"/>
          <w:tblCellMar>
            <w:top w:w="0" w:type="dxa"/>
            <w:left w:w="0" w:type="dxa"/>
            <w:bottom w:w="0" w:type="dxa"/>
            <w:right w:w="0" w:type="dxa"/>
          </w:tblCellMar>
        </w:tblPrEx>
        <w:trPr>
          <w:trHeight w:val="500"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highlight w:val="none"/>
                <w:u w:val="none"/>
                <w:lang w:val="en-US" w:eastAsia="zh-CN" w:bidi="ar"/>
                <w14:textFill>
                  <w14:solidFill>
                    <w14:schemeClr w14:val="tx1"/>
                  </w14:solidFill>
                </w14:textFill>
              </w:rPr>
              <w:t>4</w:t>
            </w:r>
          </w:p>
        </w:tc>
        <w:tc>
          <w:tcPr>
            <w:tcW w:w="3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供电设置</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套</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highlight w:val="none"/>
                <w:u w:val="none"/>
                <w:lang w:val="en-US" w:eastAsia="zh-CN" w:bidi="ar"/>
                <w14:textFill>
                  <w14:solidFill>
                    <w14:schemeClr w14:val="tx1"/>
                  </w14:solidFill>
                </w14:textFill>
              </w:rPr>
              <w:t>6</w:t>
            </w:r>
          </w:p>
        </w:tc>
        <w:tc>
          <w:tcPr>
            <w:tcW w:w="2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16"/>
                <w:szCs w:val="16"/>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6"/>
                <w:szCs w:val="16"/>
                <w:highlight w:val="none"/>
                <w:u w:val="none"/>
                <w:lang w:val="en-US" w:eastAsia="zh-CN" w:bidi="ar"/>
                <w14:textFill>
                  <w14:solidFill>
                    <w14:schemeClr w14:val="tx1"/>
                  </w14:solidFill>
                </w14:textFill>
              </w:rPr>
              <w:t>含配电箱组、供电电缆及其安装费</w:t>
            </w:r>
          </w:p>
        </w:tc>
      </w:tr>
      <w:tr>
        <w:tblPrEx>
          <w:tblLayout w:type="fixed"/>
          <w:tblCellMar>
            <w:top w:w="0" w:type="dxa"/>
            <w:left w:w="0" w:type="dxa"/>
            <w:bottom w:w="0" w:type="dxa"/>
            <w:right w:w="0" w:type="dxa"/>
          </w:tblCellMar>
        </w:tblPrEx>
        <w:trPr>
          <w:trHeight w:val="500"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highlight w:val="none"/>
                <w:u w:val="none"/>
                <w:lang w:val="en-US" w:eastAsia="zh-CN" w:bidi="ar"/>
                <w14:textFill>
                  <w14:solidFill>
                    <w14:schemeClr w14:val="tx1"/>
                  </w14:solidFill>
                </w14:textFill>
              </w:rPr>
              <w:t>5</w:t>
            </w:r>
          </w:p>
        </w:tc>
        <w:tc>
          <w:tcPr>
            <w:tcW w:w="3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通讯设置</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套</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highlight w:val="none"/>
                <w:u w:val="none"/>
                <w:lang w:val="en-US" w:eastAsia="zh-CN" w:bidi="ar"/>
                <w14:textFill>
                  <w14:solidFill>
                    <w14:schemeClr w14:val="tx1"/>
                  </w14:solidFill>
                </w14:textFill>
              </w:rPr>
              <w:t>6</w:t>
            </w:r>
          </w:p>
        </w:tc>
        <w:tc>
          <w:tcPr>
            <w:tcW w:w="2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16"/>
                <w:szCs w:val="16"/>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6"/>
                <w:szCs w:val="16"/>
                <w:highlight w:val="none"/>
                <w:u w:val="none"/>
                <w:lang w:val="en-US" w:eastAsia="zh-CN" w:bidi="ar"/>
                <w14:textFill>
                  <w14:solidFill>
                    <w14:schemeClr w14:val="tx1"/>
                  </w14:solidFill>
                </w14:textFill>
              </w:rPr>
              <w:t>含通讯设备、线缆及其安装费</w:t>
            </w:r>
          </w:p>
        </w:tc>
      </w:tr>
      <w:tr>
        <w:tblPrEx>
          <w:tblLayout w:type="fixed"/>
          <w:tblCellMar>
            <w:top w:w="0" w:type="dxa"/>
            <w:left w:w="0" w:type="dxa"/>
            <w:bottom w:w="0" w:type="dxa"/>
            <w:right w:w="0" w:type="dxa"/>
          </w:tblCellMar>
        </w:tblPrEx>
        <w:trPr>
          <w:trHeight w:val="900" w:hRule="atLeast"/>
        </w:trPr>
        <w:tc>
          <w:tcPr>
            <w:tcW w:w="4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highlight w:val="none"/>
                <w:u w:val="none"/>
                <w:lang w:val="en-US" w:eastAsia="zh-CN" w:bidi="ar"/>
                <w14:textFill>
                  <w14:solidFill>
                    <w14:schemeClr w14:val="tx1"/>
                  </w14:solidFill>
                </w14:textFill>
              </w:rPr>
              <w:t>6</w:t>
            </w:r>
          </w:p>
        </w:tc>
        <w:tc>
          <w:tcPr>
            <w:tcW w:w="32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自动化数据采集及处理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月·台</w:t>
            </w:r>
          </w:p>
        </w:tc>
        <w:tc>
          <w:tcPr>
            <w:tcW w:w="11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highlight w:val="none"/>
                <w:u w:val="none"/>
                <w:lang w:val="en-US" w:eastAsia="zh-CN" w:bidi="ar"/>
                <w14:textFill>
                  <w14:solidFill>
                    <w14:schemeClr w14:val="tx1"/>
                  </w14:solidFill>
                </w14:textFill>
              </w:rPr>
              <w:t>30</w:t>
            </w:r>
          </w:p>
        </w:tc>
        <w:tc>
          <w:tcPr>
            <w:tcW w:w="28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16"/>
                <w:szCs w:val="16"/>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6"/>
                <w:szCs w:val="16"/>
                <w:highlight w:val="none"/>
                <w:u w:val="none"/>
                <w:lang w:val="en-US" w:eastAsia="zh-CN" w:bidi="ar"/>
                <w14:textFill>
                  <w14:solidFill>
                    <w14:schemeClr w14:val="tx1"/>
                  </w14:solidFill>
                </w14:textFill>
              </w:rPr>
              <w:t>包含自动化监测采集费、设备折旧费以及监测系统维护和文件整理资料费、人员工资等</w:t>
            </w:r>
          </w:p>
        </w:tc>
      </w:tr>
    </w:tbl>
    <w:p>
      <w:p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br w:type="page"/>
      </w:r>
    </w:p>
    <w:p>
      <w:pPr>
        <w:numPr>
          <w:ilvl w:val="0"/>
          <w:numId w:val="0"/>
        </w:num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t>该工程第三方监测费计算如下表：</w:t>
      </w:r>
    </w:p>
    <w:tbl>
      <w:tblPr>
        <w:tblStyle w:val="11"/>
        <w:tblW w:w="8336" w:type="dxa"/>
        <w:tblInd w:w="0" w:type="dxa"/>
        <w:shd w:val="clear" w:color="auto" w:fill="auto"/>
        <w:tblLayout w:type="fixed"/>
        <w:tblCellMar>
          <w:top w:w="0" w:type="dxa"/>
          <w:left w:w="0" w:type="dxa"/>
          <w:bottom w:w="0" w:type="dxa"/>
          <w:right w:w="0" w:type="dxa"/>
        </w:tblCellMar>
      </w:tblPr>
      <w:tblGrid>
        <w:gridCol w:w="376"/>
        <w:gridCol w:w="2162"/>
        <w:gridCol w:w="538"/>
        <w:gridCol w:w="910"/>
        <w:gridCol w:w="574"/>
        <w:gridCol w:w="984"/>
        <w:gridCol w:w="2792"/>
      </w:tblGrid>
      <w:tr>
        <w:tblPrEx>
          <w:shd w:val="clear" w:color="auto" w:fill="auto"/>
          <w:tblLayout w:type="fixed"/>
          <w:tblCellMar>
            <w:top w:w="0" w:type="dxa"/>
            <w:left w:w="0" w:type="dxa"/>
            <w:bottom w:w="0" w:type="dxa"/>
            <w:right w:w="0" w:type="dxa"/>
          </w:tblCellMar>
        </w:tblPrEx>
        <w:trPr>
          <w:trHeight w:val="920" w:hRule="atLeast"/>
        </w:trPr>
        <w:tc>
          <w:tcPr>
            <w:tcW w:w="8336" w:type="dxa"/>
            <w:gridSpan w:val="7"/>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b/>
                <w:i w:val="0"/>
                <w:color w:val="000000" w:themeColor="text1"/>
                <w:kern w:val="0"/>
                <w:sz w:val="24"/>
                <w:szCs w:val="24"/>
                <w:highlight w:val="none"/>
                <w:u w:val="none"/>
                <w:lang w:val="en-US" w:eastAsia="zh-CN" w:bidi="ar"/>
                <w14:textFill>
                  <w14:solidFill>
                    <w14:schemeClr w14:val="tx1"/>
                  </w14:solidFill>
                </w14:textFill>
              </w:rPr>
              <w:t>XX轨道工程第三方监测项目招标控制价</w:t>
            </w:r>
          </w:p>
        </w:tc>
      </w:tr>
      <w:tr>
        <w:tblPrEx>
          <w:shd w:val="clear" w:color="auto" w:fill="auto"/>
          <w:tblLayout w:type="fixed"/>
          <w:tblCellMar>
            <w:top w:w="0" w:type="dxa"/>
            <w:left w:w="0" w:type="dxa"/>
            <w:bottom w:w="0" w:type="dxa"/>
            <w:right w:w="0" w:type="dxa"/>
          </w:tblCellMar>
        </w:tblPrEx>
        <w:trPr>
          <w:trHeight w:val="500" w:hRule="atLeast"/>
        </w:trPr>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
                <w14:textFill>
                  <w14:solidFill>
                    <w14:schemeClr w14:val="tx1"/>
                  </w14:solidFill>
                </w14:textFill>
              </w:rPr>
              <w:t>序号</w:t>
            </w:r>
          </w:p>
        </w:tc>
        <w:tc>
          <w:tcPr>
            <w:tcW w:w="216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
                <w14:textFill>
                  <w14:solidFill>
                    <w14:schemeClr w14:val="tx1"/>
                  </w14:solidFill>
                </w14:textFill>
              </w:rPr>
              <w:t>工程监测项目</w:t>
            </w: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0"/>
                <w:szCs w:val="20"/>
                <w:highlight w:val="none"/>
                <w:u w:val="none"/>
                <w:lang w:val="en-US" w:eastAsia="zh-CN" w:bidi="ar"/>
                <w14:textFill>
                  <w14:solidFill>
                    <w14:schemeClr w14:val="tx1"/>
                  </w14:solidFill>
                </w14:textFill>
              </w:rPr>
              <w:t>单位</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bidi="ar"/>
                <w14:textFill>
                  <w14:solidFill>
                    <w14:schemeClr w14:val="tx1"/>
                  </w14:solidFill>
                </w14:textFill>
              </w:rPr>
              <w:t>工程量</w:t>
            </w:r>
          </w:p>
        </w:tc>
        <w:tc>
          <w:tcPr>
            <w:tcW w:w="5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bidi="ar"/>
                <w14:textFill>
                  <w14:solidFill>
                    <w14:schemeClr w14:val="tx1"/>
                  </w14:solidFill>
                </w14:textFill>
              </w:rPr>
              <w:t>单价</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bidi="ar"/>
                <w14:textFill>
                  <w14:solidFill>
                    <w14:schemeClr w14:val="tx1"/>
                  </w14:solidFill>
                </w14:textFill>
              </w:rPr>
              <w:t>合价</w:t>
            </w:r>
          </w:p>
        </w:tc>
        <w:tc>
          <w:tcPr>
            <w:tcW w:w="2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bidi="ar"/>
                <w14:textFill>
                  <w14:solidFill>
                    <w14:schemeClr w14:val="tx1"/>
                  </w14:solidFill>
                </w14:textFill>
              </w:rPr>
              <w:t>备注</w:t>
            </w:r>
          </w:p>
        </w:tc>
      </w:tr>
      <w:tr>
        <w:tblPrEx>
          <w:shd w:val="clear" w:color="auto" w:fill="auto"/>
          <w:tblLayout w:type="fixed"/>
          <w:tblCellMar>
            <w:top w:w="0" w:type="dxa"/>
            <w:left w:w="0" w:type="dxa"/>
            <w:bottom w:w="0" w:type="dxa"/>
            <w:right w:w="0" w:type="dxa"/>
          </w:tblCellMar>
        </w:tblPrEx>
        <w:trPr>
          <w:trHeight w:val="500" w:hRule="atLeast"/>
        </w:trPr>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c>
          <w:tcPr>
            <w:tcW w:w="216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20"/>
                <w:szCs w:val="20"/>
                <w:highlight w:val="none"/>
                <w:u w:val="none"/>
                <w14:textFill>
                  <w14:solidFill>
                    <w14:schemeClr w14:val="tx1"/>
                  </w14:solidFill>
                </w14:textFill>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p>
        </w:tc>
        <w:tc>
          <w:tcPr>
            <w:tcW w:w="5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p>
        </w:tc>
        <w:tc>
          <w:tcPr>
            <w:tcW w:w="2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p>
        </w:tc>
      </w:tr>
      <w:tr>
        <w:tblPrEx>
          <w:tblLayout w:type="fixed"/>
          <w:tblCellMar>
            <w:top w:w="0" w:type="dxa"/>
            <w:left w:w="0" w:type="dxa"/>
            <w:bottom w:w="0" w:type="dxa"/>
            <w:right w:w="0" w:type="dxa"/>
          </w:tblCellMar>
        </w:tblPrEx>
        <w:trPr>
          <w:trHeight w:val="315" w:hRule="atLeast"/>
        </w:trPr>
        <w:tc>
          <w:tcPr>
            <w:tcW w:w="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highlight w:val="none"/>
                <w:u w:val="none"/>
                <w:lang w:val="en-US" w:eastAsia="zh-CN" w:bidi="ar"/>
                <w14:textFill>
                  <w14:solidFill>
                    <w14:schemeClr w14:val="tx1"/>
                  </w14:solidFill>
                </w14:textFill>
              </w:rPr>
              <w:t>1</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监测点布置</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个</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600</w:t>
            </w: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360</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216000</w:t>
            </w:r>
          </w:p>
        </w:tc>
        <w:tc>
          <w:tcPr>
            <w:tcW w:w="2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Style w:val="149"/>
                <w:rFonts w:hint="eastAsia" w:asciiTheme="minorEastAsia" w:hAnsiTheme="minorEastAsia" w:eastAsiaTheme="minorEastAsia" w:cstheme="minorEastAsia"/>
                <w:color w:val="000000" w:themeColor="text1"/>
                <w:sz w:val="22"/>
                <w:szCs w:val="22"/>
                <w:highlight w:val="none"/>
                <w:lang w:val="en-US" w:eastAsia="zh-CN" w:bidi="ar"/>
                <w14:textFill>
                  <w14:solidFill>
                    <w14:schemeClr w14:val="tx1"/>
                  </w14:solidFill>
                </w14:textFill>
              </w:rPr>
              <w:t>含微型棱镜、支架及其安装费</w:t>
            </w:r>
          </w:p>
        </w:tc>
      </w:tr>
      <w:tr>
        <w:tblPrEx>
          <w:shd w:val="clear" w:color="auto" w:fill="auto"/>
          <w:tblLayout w:type="fixed"/>
          <w:tblCellMar>
            <w:top w:w="0" w:type="dxa"/>
            <w:left w:w="0" w:type="dxa"/>
            <w:bottom w:w="0" w:type="dxa"/>
            <w:right w:w="0" w:type="dxa"/>
          </w:tblCellMar>
        </w:tblPrEx>
        <w:trPr>
          <w:trHeight w:val="315" w:hRule="atLeast"/>
        </w:trPr>
        <w:tc>
          <w:tcPr>
            <w:tcW w:w="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highlight w:val="none"/>
                <w:u w:val="none"/>
                <w:lang w:val="en-US" w:eastAsia="zh-CN" w:bidi="ar"/>
                <w14:textFill>
                  <w14:solidFill>
                    <w14:schemeClr w14:val="tx1"/>
                  </w14:solidFill>
                </w14:textFill>
              </w:rPr>
              <w:t>2</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基准点设置</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个</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30</w:t>
            </w: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600</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18000</w:t>
            </w:r>
          </w:p>
        </w:tc>
        <w:tc>
          <w:tcPr>
            <w:tcW w:w="2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Style w:val="149"/>
                <w:rFonts w:hint="eastAsia" w:asciiTheme="minorEastAsia" w:hAnsiTheme="minorEastAsia" w:eastAsiaTheme="minorEastAsia" w:cstheme="minorEastAsia"/>
                <w:color w:val="000000" w:themeColor="text1"/>
                <w:sz w:val="22"/>
                <w:szCs w:val="22"/>
                <w:highlight w:val="none"/>
                <w:lang w:val="en-US" w:eastAsia="zh-CN" w:bidi="ar"/>
                <w14:textFill>
                  <w14:solidFill>
                    <w14:schemeClr w14:val="tx1"/>
                  </w14:solidFill>
                </w14:textFill>
              </w:rPr>
              <w:t>含单棱镜、支架及其安装费</w:t>
            </w:r>
          </w:p>
        </w:tc>
      </w:tr>
      <w:tr>
        <w:tblPrEx>
          <w:shd w:val="clear" w:color="auto" w:fill="auto"/>
          <w:tblLayout w:type="fixed"/>
          <w:tblCellMar>
            <w:top w:w="0" w:type="dxa"/>
            <w:left w:w="0" w:type="dxa"/>
            <w:bottom w:w="0" w:type="dxa"/>
            <w:right w:w="0" w:type="dxa"/>
          </w:tblCellMar>
        </w:tblPrEx>
        <w:trPr>
          <w:trHeight w:val="315" w:hRule="atLeast"/>
        </w:trPr>
        <w:tc>
          <w:tcPr>
            <w:tcW w:w="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highlight w:val="none"/>
                <w:u w:val="none"/>
                <w:lang w:val="en-US" w:eastAsia="zh-CN" w:bidi="ar"/>
                <w14:textFill>
                  <w14:solidFill>
                    <w14:schemeClr w14:val="tx1"/>
                  </w14:solidFill>
                </w14:textFill>
              </w:rPr>
              <w:t>3</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工作基站设置</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个</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6</w:t>
            </w: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6000</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36000</w:t>
            </w:r>
          </w:p>
        </w:tc>
        <w:tc>
          <w:tcPr>
            <w:tcW w:w="2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Style w:val="149"/>
                <w:rFonts w:hint="eastAsia" w:asciiTheme="minorEastAsia" w:hAnsiTheme="minorEastAsia" w:eastAsiaTheme="minorEastAsia" w:cstheme="minorEastAsia"/>
                <w:color w:val="000000" w:themeColor="text1"/>
                <w:sz w:val="22"/>
                <w:szCs w:val="22"/>
                <w:highlight w:val="none"/>
                <w:lang w:val="en-US" w:eastAsia="zh-CN" w:bidi="ar"/>
                <w14:textFill>
                  <w14:solidFill>
                    <w14:schemeClr w14:val="tx1"/>
                  </w14:solidFill>
                </w14:textFill>
              </w:rPr>
              <w:t>含全站仪托架、强制对中盘及其安装费</w:t>
            </w:r>
          </w:p>
        </w:tc>
      </w:tr>
      <w:tr>
        <w:tblPrEx>
          <w:shd w:val="clear" w:color="auto" w:fill="auto"/>
          <w:tblLayout w:type="fixed"/>
          <w:tblCellMar>
            <w:top w:w="0" w:type="dxa"/>
            <w:left w:w="0" w:type="dxa"/>
            <w:bottom w:w="0" w:type="dxa"/>
            <w:right w:w="0" w:type="dxa"/>
          </w:tblCellMar>
        </w:tblPrEx>
        <w:trPr>
          <w:trHeight w:val="500" w:hRule="atLeast"/>
        </w:trPr>
        <w:tc>
          <w:tcPr>
            <w:tcW w:w="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highlight w:val="none"/>
                <w:u w:val="none"/>
                <w:lang w:val="en-US" w:eastAsia="zh-CN" w:bidi="ar"/>
                <w14:textFill>
                  <w14:solidFill>
                    <w14:schemeClr w14:val="tx1"/>
                  </w14:solidFill>
                </w14:textFill>
              </w:rPr>
              <w:t>4</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供电设置</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套</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6</w:t>
            </w: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3200</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19200</w:t>
            </w:r>
          </w:p>
        </w:tc>
        <w:tc>
          <w:tcPr>
            <w:tcW w:w="2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Style w:val="149"/>
                <w:rFonts w:hint="eastAsia" w:asciiTheme="minorEastAsia" w:hAnsiTheme="minorEastAsia" w:eastAsiaTheme="minorEastAsia" w:cstheme="minorEastAsia"/>
                <w:color w:val="000000" w:themeColor="text1"/>
                <w:sz w:val="22"/>
                <w:szCs w:val="22"/>
                <w:highlight w:val="none"/>
                <w:lang w:val="en-US" w:eastAsia="zh-CN" w:bidi="ar"/>
                <w14:textFill>
                  <w14:solidFill>
                    <w14:schemeClr w14:val="tx1"/>
                  </w14:solidFill>
                </w14:textFill>
              </w:rPr>
              <w:t>含配电箱组、供电电缆及其安装费</w:t>
            </w:r>
          </w:p>
        </w:tc>
      </w:tr>
      <w:tr>
        <w:tblPrEx>
          <w:shd w:val="clear" w:color="auto" w:fill="auto"/>
          <w:tblLayout w:type="fixed"/>
          <w:tblCellMar>
            <w:top w:w="0" w:type="dxa"/>
            <w:left w:w="0" w:type="dxa"/>
            <w:bottom w:w="0" w:type="dxa"/>
            <w:right w:w="0" w:type="dxa"/>
          </w:tblCellMar>
        </w:tblPrEx>
        <w:trPr>
          <w:trHeight w:val="500" w:hRule="atLeast"/>
        </w:trPr>
        <w:tc>
          <w:tcPr>
            <w:tcW w:w="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highlight w:val="none"/>
                <w:u w:val="none"/>
                <w:lang w:val="en-US" w:eastAsia="zh-CN" w:bidi="ar"/>
                <w14:textFill>
                  <w14:solidFill>
                    <w14:schemeClr w14:val="tx1"/>
                  </w14:solidFill>
                </w14:textFill>
              </w:rPr>
              <w:t>5</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通讯设置</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套</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6</w:t>
            </w: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7040</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42240</w:t>
            </w:r>
          </w:p>
        </w:tc>
        <w:tc>
          <w:tcPr>
            <w:tcW w:w="2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Style w:val="149"/>
                <w:rFonts w:hint="eastAsia" w:asciiTheme="minorEastAsia" w:hAnsiTheme="minorEastAsia" w:eastAsiaTheme="minorEastAsia" w:cstheme="minorEastAsia"/>
                <w:color w:val="000000" w:themeColor="text1"/>
                <w:sz w:val="22"/>
                <w:szCs w:val="22"/>
                <w:highlight w:val="none"/>
                <w:lang w:val="en-US" w:eastAsia="zh-CN" w:bidi="ar"/>
                <w14:textFill>
                  <w14:solidFill>
                    <w14:schemeClr w14:val="tx1"/>
                  </w14:solidFill>
                </w14:textFill>
              </w:rPr>
              <w:t>含通讯设备、线缆及其安装费</w:t>
            </w:r>
          </w:p>
        </w:tc>
      </w:tr>
      <w:tr>
        <w:tblPrEx>
          <w:shd w:val="clear" w:color="auto" w:fill="auto"/>
          <w:tblLayout w:type="fixed"/>
          <w:tblCellMar>
            <w:top w:w="0" w:type="dxa"/>
            <w:left w:w="0" w:type="dxa"/>
            <w:bottom w:w="0" w:type="dxa"/>
            <w:right w:w="0" w:type="dxa"/>
          </w:tblCellMar>
        </w:tblPrEx>
        <w:trPr>
          <w:trHeight w:val="900" w:hRule="atLeast"/>
        </w:trPr>
        <w:tc>
          <w:tcPr>
            <w:tcW w:w="3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18"/>
                <w:szCs w:val="18"/>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18"/>
                <w:szCs w:val="18"/>
                <w:highlight w:val="none"/>
                <w:u w:val="none"/>
                <w:lang w:val="en-US" w:eastAsia="zh-CN" w:bidi="ar"/>
                <w14:textFill>
                  <w14:solidFill>
                    <w14:schemeClr w14:val="tx1"/>
                  </w14:solidFill>
                </w14:textFill>
              </w:rPr>
              <w:t>6</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自动化数据采集及处理</w:t>
            </w:r>
          </w:p>
        </w:tc>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月·台</w:t>
            </w: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30</w:t>
            </w:r>
          </w:p>
        </w:tc>
        <w:tc>
          <w:tcPr>
            <w:tcW w:w="5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30000</w:t>
            </w: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900000</w:t>
            </w:r>
          </w:p>
        </w:tc>
        <w:tc>
          <w:tcPr>
            <w:tcW w:w="2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Style w:val="149"/>
                <w:rFonts w:hint="eastAsia" w:asciiTheme="minorEastAsia" w:hAnsiTheme="minorEastAsia" w:eastAsiaTheme="minorEastAsia" w:cstheme="minorEastAsia"/>
                <w:color w:val="000000" w:themeColor="text1"/>
                <w:sz w:val="22"/>
                <w:szCs w:val="22"/>
                <w:highlight w:val="none"/>
                <w:lang w:val="en-US" w:eastAsia="zh-CN" w:bidi="ar"/>
                <w14:textFill>
                  <w14:solidFill>
                    <w14:schemeClr w14:val="tx1"/>
                  </w14:solidFill>
                </w14:textFill>
              </w:rPr>
              <w:t>包含自动化监测采集费、设备折旧费以及监测系统维护和文件整理资料费、人员工资等</w:t>
            </w:r>
          </w:p>
        </w:tc>
      </w:tr>
      <w:tr>
        <w:tblPrEx>
          <w:shd w:val="clear" w:color="auto" w:fill="auto"/>
          <w:tblLayout w:type="fixed"/>
          <w:tblCellMar>
            <w:top w:w="0" w:type="dxa"/>
            <w:left w:w="0" w:type="dxa"/>
            <w:bottom w:w="0" w:type="dxa"/>
            <w:right w:w="0" w:type="dxa"/>
          </w:tblCellMar>
        </w:tblPrEx>
        <w:trPr>
          <w:trHeight w:val="315" w:hRule="atLeast"/>
        </w:trPr>
        <w:tc>
          <w:tcPr>
            <w:tcW w:w="3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21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4"/>
                <w:szCs w:val="24"/>
                <w:highlight w:val="none"/>
                <w:u w:val="none"/>
                <w:lang w:val="en-US" w:eastAsia="zh-CN" w:bidi="ar"/>
                <w14:textFill>
                  <w14:solidFill>
                    <w14:schemeClr w14:val="tx1"/>
                  </w14:solidFill>
                </w14:textFill>
              </w:rPr>
              <w:t>总计</w:t>
            </w:r>
          </w:p>
        </w:tc>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themeColor="text1"/>
                <w:sz w:val="22"/>
                <w:szCs w:val="22"/>
                <w:highlight w:val="none"/>
                <w:u w:val="none"/>
                <w14:textFill>
                  <w14:solidFill>
                    <w14:schemeClr w14:val="tx1"/>
                  </w14:solidFill>
                </w14:textFill>
              </w:rPr>
            </w:pPr>
            <w:r>
              <w:rPr>
                <w:rFonts w:hint="eastAsia" w:asciiTheme="minorEastAsia" w:hAnsiTheme="minorEastAsia" w:eastAsiaTheme="minorEastAsia" w:cstheme="minorEastAsia"/>
                <w:i w:val="0"/>
                <w:color w:val="000000" w:themeColor="text1"/>
                <w:kern w:val="0"/>
                <w:sz w:val="22"/>
                <w:szCs w:val="22"/>
                <w:highlight w:val="none"/>
                <w:u w:val="none"/>
                <w:lang w:val="en-US" w:eastAsia="zh-CN" w:bidi="ar"/>
                <w14:textFill>
                  <w14:solidFill>
                    <w14:schemeClr w14:val="tx1"/>
                  </w14:solidFill>
                </w14:textFill>
              </w:rPr>
              <w:t>1231440</w:t>
            </w:r>
          </w:p>
        </w:tc>
        <w:tc>
          <w:tcPr>
            <w:tcW w:w="2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Theme="minorEastAsia" w:hAnsiTheme="minorEastAsia" w:eastAsiaTheme="minorEastAsia" w:cstheme="minorEastAsia"/>
                <w:i w:val="0"/>
                <w:color w:val="000000" w:themeColor="text1"/>
                <w:sz w:val="24"/>
                <w:szCs w:val="24"/>
                <w:highlight w:val="none"/>
                <w:u w:val="none"/>
                <w14:textFill>
                  <w14:solidFill>
                    <w14:schemeClr w14:val="tx1"/>
                  </w14:solidFill>
                </w14:textFill>
              </w:rPr>
            </w:pPr>
          </w:p>
        </w:tc>
      </w:tr>
    </w:tbl>
    <w:p>
      <w:pPr>
        <w:numPr>
          <w:ilvl w:val="0"/>
          <w:numId w:val="0"/>
        </w:numPr>
        <w:rPr>
          <w:rFonts w:hint="eastAsia" w:asciiTheme="minorEastAsia" w:hAnsiTheme="minorEastAsia" w:eastAsiaTheme="minorEastAsia" w:cstheme="minorEastAsia"/>
          <w:bCs/>
          <w:color w:val="000000" w:themeColor="text1"/>
          <w:sz w:val="28"/>
          <w:szCs w:val="28"/>
          <w:highlight w:val="none"/>
          <w:lang w:val="en-US" w:eastAsia="zh-CN"/>
          <w14:textFill>
            <w14:solidFill>
              <w14:schemeClr w14:val="tx1"/>
            </w14:solidFill>
          </w14:textFill>
        </w:rPr>
      </w:pPr>
    </w:p>
    <w:p>
      <w:pPr>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br w:type="page"/>
      </w:r>
    </w:p>
    <w:p>
      <w:pPr>
        <w:pStyle w:val="2"/>
        <w:bidi w:val="0"/>
        <w:jc w:val="center"/>
        <w:rPr>
          <w:rFonts w:hint="default"/>
          <w:color w:val="000000" w:themeColor="text1"/>
          <w:sz w:val="36"/>
          <w:szCs w:val="36"/>
          <w:highlight w:val="none"/>
          <w:lang w:val="en-US" w:eastAsia="zh-CN"/>
          <w14:textFill>
            <w14:solidFill>
              <w14:schemeClr w14:val="tx1"/>
            </w14:solidFill>
          </w14:textFill>
        </w:rPr>
      </w:pPr>
      <w:bookmarkStart w:id="23" w:name="_Toc10064"/>
      <w:r>
        <w:rPr>
          <w:rFonts w:hint="eastAsia"/>
          <w:color w:val="000000" w:themeColor="text1"/>
          <w:sz w:val="36"/>
          <w:szCs w:val="36"/>
          <w:highlight w:val="none"/>
          <w:lang w:val="en-US" w:eastAsia="zh-CN"/>
          <w14:textFill>
            <w14:solidFill>
              <w14:schemeClr w14:val="tx1"/>
            </w14:solidFill>
          </w14:textFill>
        </w:rPr>
        <w:t>参考依据</w:t>
      </w:r>
      <w:bookmarkEnd w:id="23"/>
    </w:p>
    <w:p>
      <w:pPr>
        <w:numPr>
          <w:ilvl w:val="0"/>
          <w:numId w:val="0"/>
        </w:numPr>
        <w:spacing w:line="360" w:lineRule="auto"/>
        <w:ind w:left="420" w:leftChars="0" w:right="-334" w:rightChars="-159"/>
        <w:jc w:val="center"/>
        <w:rPr>
          <w:rFonts w:hint="eastAsia" w:ascii="宋体" w:hAnsi="宋体" w:eastAsia="宋体" w:cs="宋体"/>
          <w:b/>
          <w:bCs w:val="0"/>
          <w:color w:val="000000" w:themeColor="text1"/>
          <w:sz w:val="44"/>
          <w:szCs w:val="44"/>
          <w:highlight w:val="none"/>
          <w:lang w:val="en-US" w:eastAsia="zh-CN"/>
          <w14:textFill>
            <w14:solidFill>
              <w14:schemeClr w14:val="tx1"/>
            </w14:solidFill>
          </w14:textFill>
        </w:rPr>
      </w:pPr>
    </w:p>
    <w:p>
      <w:pPr>
        <w:numPr>
          <w:ilvl w:val="0"/>
          <w:numId w:val="66"/>
        </w:numPr>
        <w:spacing w:line="360" w:lineRule="auto"/>
        <w:ind w:left="0" w:leftChars="0" w:right="-334" w:rightChars="-159" w:firstLine="420" w:firstLineChars="0"/>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《建设项目前期工作咨询收费暂行规定》（计价格[1999]1283号）；</w:t>
      </w:r>
    </w:p>
    <w:p>
      <w:pPr>
        <w:numPr>
          <w:ilvl w:val="0"/>
          <w:numId w:val="66"/>
        </w:numPr>
        <w:spacing w:line="360" w:lineRule="auto"/>
        <w:ind w:left="0" w:leftChars="0" w:right="-334" w:rightChars="-159" w:firstLine="420" w:firstLineChars="0"/>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《工程勘察设计收费管理规定》（计价格[2002]10号）；</w:t>
      </w:r>
    </w:p>
    <w:p>
      <w:pPr>
        <w:numPr>
          <w:ilvl w:val="0"/>
          <w:numId w:val="66"/>
        </w:numPr>
        <w:spacing w:line="360" w:lineRule="auto"/>
        <w:ind w:left="0" w:leftChars="0" w:right="-334" w:rightChars="-159" w:firstLine="420" w:firstLineChars="0"/>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《建设工程监理与相关服务收费管理规定》（发改价格[2007]670号）；</w:t>
      </w:r>
    </w:p>
    <w:p>
      <w:pPr>
        <w:numPr>
          <w:ilvl w:val="0"/>
          <w:numId w:val="66"/>
        </w:numPr>
        <w:spacing w:line="360" w:lineRule="auto"/>
        <w:ind w:left="0" w:leftChars="0" w:right="-334" w:rightChars="-159" w:firstLine="420" w:firstLineChars="0"/>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《湖南省建设工程施工阶段监理服务费计费规则》（湘监协[2016]2号）；</w:t>
      </w:r>
    </w:p>
    <w:p>
      <w:pPr>
        <w:numPr>
          <w:ilvl w:val="0"/>
          <w:numId w:val="66"/>
        </w:numPr>
        <w:spacing w:line="360" w:lineRule="auto"/>
        <w:ind w:left="0" w:leftChars="0" w:right="-334" w:rightChars="-159" w:firstLine="420" w:firstLineChars="0"/>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《湖南省建设工程造价咨询服务收费管理办法》（湘价服[2009]81号）；</w:t>
      </w:r>
    </w:p>
    <w:p>
      <w:pPr>
        <w:numPr>
          <w:ilvl w:val="0"/>
          <w:numId w:val="66"/>
        </w:numPr>
        <w:spacing w:line="360" w:lineRule="auto"/>
        <w:ind w:left="0" w:leftChars="0" w:right="-334" w:rightChars="-159" w:firstLine="420" w:firstLineChars="0"/>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《湖南省建设工程造价咨询行业咨询服务收费参考价格表》（湘建价协[2016]25号）；</w:t>
      </w:r>
    </w:p>
    <w:p>
      <w:pPr>
        <w:numPr>
          <w:ilvl w:val="0"/>
          <w:numId w:val="66"/>
        </w:numPr>
        <w:spacing w:line="360" w:lineRule="auto"/>
        <w:ind w:left="0" w:leftChars="0" w:right="-334" w:rightChars="-159" w:firstLine="420" w:firstLineChars="0"/>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《测绘工程产品价格》（国测财字[2002]3号）；</w:t>
      </w:r>
    </w:p>
    <w:p>
      <w:pPr>
        <w:numPr>
          <w:ilvl w:val="0"/>
          <w:numId w:val="66"/>
        </w:numPr>
        <w:spacing w:line="360" w:lineRule="auto"/>
        <w:ind w:left="0" w:leftChars="0" w:right="-334" w:rightChars="-159" w:firstLine="420" w:firstLineChars="0"/>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《湖南省物价局关于进一步规范建设工程质量检测服务收费的通知》（湘价服[2009]186号）；</w:t>
      </w:r>
    </w:p>
    <w:p>
      <w:pPr>
        <w:numPr>
          <w:ilvl w:val="0"/>
          <w:numId w:val="66"/>
        </w:numPr>
        <w:spacing w:line="360" w:lineRule="auto"/>
        <w:ind w:left="0" w:leftChars="0" w:right="-334" w:rightChars="-159" w:firstLine="420" w:firstLineChars="0"/>
        <w:rPr>
          <w:rFonts w:hint="eastAsia"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《湖南省建设工程质量检测收费项目和收费标准汇总表》（湘质安协字[2016]19号）；</w:t>
      </w:r>
    </w:p>
    <w:p>
      <w:pPr>
        <w:rPr>
          <w:rFonts w:hint="eastAsia" w:asciiTheme="minorEastAsia" w:hAnsiTheme="minorEastAsia" w:eastAsiaTheme="minorEastAsia" w:cstheme="minorEastAsia"/>
          <w:b/>
          <w:color w:val="000000" w:themeColor="text1"/>
          <w:sz w:val="36"/>
          <w:szCs w:val="36"/>
          <w:highlight w:val="none"/>
          <w14:textFill>
            <w14:solidFill>
              <w14:schemeClr w14:val="tx1"/>
            </w14:solidFill>
          </w14:textFill>
        </w:rPr>
      </w:pPr>
      <w:bookmarkStart w:id="24" w:name="_GoBack"/>
      <w:bookmarkEnd w:id="24"/>
    </w:p>
    <w:sectPr>
      <w:pgSz w:w="11906" w:h="16838"/>
      <w:pgMar w:top="1440" w:right="1800" w:bottom="1440" w:left="1800"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书宋简体">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Times">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jc w:val="cente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ED5jvy5AQAAVwMAAA4AAAAAAAAAAQAgAAAAHgEAAGRycy9lMm9Eb2MueG1sUEsFBgAAAAAGAAYA&#10;WQEAAEkFAAAAAA==&#10;">
              <v:fill on="f" focussize="0,0"/>
              <v:stroke on="f"/>
              <v:imagedata o:title=""/>
              <o:lock v:ext="edit" aspectratio="f"/>
              <v:textbox inset="0mm,0mm,0mm,0mm" style="mso-fit-shape-to-text:t;">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B54CC"/>
    <w:multiLevelType w:val="multilevel"/>
    <w:tmpl w:val="813B54CC"/>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921CD497"/>
    <w:multiLevelType w:val="singleLevel"/>
    <w:tmpl w:val="921CD497"/>
    <w:lvl w:ilvl="0" w:tentative="0">
      <w:start w:val="1"/>
      <w:numFmt w:val="chineseCounting"/>
      <w:suff w:val="nothing"/>
      <w:lvlText w:val="%1、"/>
      <w:lvlJc w:val="left"/>
      <w:pPr>
        <w:ind w:left="0" w:firstLine="420"/>
      </w:pPr>
      <w:rPr>
        <w:rFonts w:hint="eastAsia"/>
      </w:rPr>
    </w:lvl>
  </w:abstractNum>
  <w:abstractNum w:abstractNumId="2">
    <w:nsid w:val="A20519A0"/>
    <w:multiLevelType w:val="singleLevel"/>
    <w:tmpl w:val="A20519A0"/>
    <w:lvl w:ilvl="0" w:tentative="0">
      <w:start w:val="1"/>
      <w:numFmt w:val="decimal"/>
      <w:lvlText w:val="(%1)"/>
      <w:lvlJc w:val="left"/>
      <w:pPr>
        <w:ind w:left="425" w:hanging="425"/>
      </w:pPr>
      <w:rPr>
        <w:rFonts w:hint="default"/>
      </w:rPr>
    </w:lvl>
  </w:abstractNum>
  <w:abstractNum w:abstractNumId="3">
    <w:nsid w:val="A92D573E"/>
    <w:multiLevelType w:val="singleLevel"/>
    <w:tmpl w:val="A92D573E"/>
    <w:lvl w:ilvl="0" w:tentative="0">
      <w:start w:val="1"/>
      <w:numFmt w:val="decimal"/>
      <w:lvlText w:val="%1."/>
      <w:lvlJc w:val="left"/>
      <w:pPr>
        <w:ind w:left="425" w:hanging="425"/>
      </w:pPr>
      <w:rPr>
        <w:rFonts w:hint="default"/>
      </w:rPr>
    </w:lvl>
  </w:abstractNum>
  <w:abstractNum w:abstractNumId="4">
    <w:nsid w:val="B7C4A7DA"/>
    <w:multiLevelType w:val="singleLevel"/>
    <w:tmpl w:val="B7C4A7DA"/>
    <w:lvl w:ilvl="0" w:tentative="0">
      <w:start w:val="1"/>
      <w:numFmt w:val="decimal"/>
      <w:lvlText w:val="%1."/>
      <w:lvlJc w:val="left"/>
      <w:pPr>
        <w:ind w:left="425" w:hanging="425"/>
      </w:pPr>
      <w:rPr>
        <w:rFonts w:hint="default"/>
      </w:rPr>
    </w:lvl>
  </w:abstractNum>
  <w:abstractNum w:abstractNumId="5">
    <w:nsid w:val="BE991B5C"/>
    <w:multiLevelType w:val="multilevel"/>
    <w:tmpl w:val="BE991B5C"/>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C117AA7F"/>
    <w:multiLevelType w:val="multilevel"/>
    <w:tmpl w:val="C117AA7F"/>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CF05CF08"/>
    <w:multiLevelType w:val="singleLevel"/>
    <w:tmpl w:val="CF05CF08"/>
    <w:lvl w:ilvl="0" w:tentative="0">
      <w:start w:val="1"/>
      <w:numFmt w:val="decimal"/>
      <w:lvlText w:val="%1."/>
      <w:lvlJc w:val="left"/>
      <w:pPr>
        <w:ind w:left="425" w:hanging="425"/>
      </w:pPr>
      <w:rPr>
        <w:rFonts w:hint="default"/>
      </w:rPr>
    </w:lvl>
  </w:abstractNum>
  <w:abstractNum w:abstractNumId="8">
    <w:nsid w:val="D03A53EF"/>
    <w:multiLevelType w:val="singleLevel"/>
    <w:tmpl w:val="D03A53EF"/>
    <w:lvl w:ilvl="0" w:tentative="0">
      <w:start w:val="1"/>
      <w:numFmt w:val="decimal"/>
      <w:suff w:val="nothing"/>
      <w:lvlText w:val="（%1）"/>
      <w:lvlJc w:val="left"/>
    </w:lvl>
  </w:abstractNum>
  <w:abstractNum w:abstractNumId="9">
    <w:nsid w:val="D4CB5B0A"/>
    <w:multiLevelType w:val="singleLevel"/>
    <w:tmpl w:val="D4CB5B0A"/>
    <w:lvl w:ilvl="0" w:tentative="0">
      <w:start w:val="1"/>
      <w:numFmt w:val="decimal"/>
      <w:lvlText w:val="(%1)"/>
      <w:lvlJc w:val="left"/>
      <w:pPr>
        <w:ind w:left="425" w:hanging="425"/>
      </w:pPr>
      <w:rPr>
        <w:rFonts w:hint="default"/>
      </w:rPr>
    </w:lvl>
  </w:abstractNum>
  <w:abstractNum w:abstractNumId="10">
    <w:nsid w:val="D58048FA"/>
    <w:multiLevelType w:val="singleLevel"/>
    <w:tmpl w:val="D58048FA"/>
    <w:lvl w:ilvl="0" w:tentative="0">
      <w:start w:val="1"/>
      <w:numFmt w:val="decimal"/>
      <w:lvlText w:val="%1."/>
      <w:lvlJc w:val="left"/>
      <w:pPr>
        <w:ind w:left="425" w:hanging="425"/>
      </w:pPr>
      <w:rPr>
        <w:rFonts w:hint="default"/>
      </w:rPr>
    </w:lvl>
  </w:abstractNum>
  <w:abstractNum w:abstractNumId="11">
    <w:nsid w:val="D64A3F0D"/>
    <w:multiLevelType w:val="singleLevel"/>
    <w:tmpl w:val="D64A3F0D"/>
    <w:lvl w:ilvl="0" w:tentative="0">
      <w:start w:val="1"/>
      <w:numFmt w:val="decimal"/>
      <w:lvlText w:val="(%1)"/>
      <w:lvlJc w:val="left"/>
      <w:pPr>
        <w:ind w:left="425" w:hanging="425"/>
      </w:pPr>
      <w:rPr>
        <w:rFonts w:hint="default"/>
      </w:rPr>
    </w:lvl>
  </w:abstractNum>
  <w:abstractNum w:abstractNumId="12">
    <w:nsid w:val="D820757A"/>
    <w:multiLevelType w:val="singleLevel"/>
    <w:tmpl w:val="D820757A"/>
    <w:lvl w:ilvl="0" w:tentative="0">
      <w:start w:val="1"/>
      <w:numFmt w:val="chineseCounting"/>
      <w:suff w:val="nothing"/>
      <w:lvlText w:val="%1、"/>
      <w:lvlJc w:val="left"/>
      <w:pPr>
        <w:ind w:left="0" w:firstLine="420"/>
      </w:pPr>
      <w:rPr>
        <w:rFonts w:hint="eastAsia"/>
      </w:rPr>
    </w:lvl>
  </w:abstractNum>
  <w:abstractNum w:abstractNumId="13">
    <w:nsid w:val="E70B12FA"/>
    <w:multiLevelType w:val="multilevel"/>
    <w:tmpl w:val="E70B12FA"/>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4">
    <w:nsid w:val="E9F7686D"/>
    <w:multiLevelType w:val="singleLevel"/>
    <w:tmpl w:val="E9F7686D"/>
    <w:lvl w:ilvl="0" w:tentative="0">
      <w:start w:val="1"/>
      <w:numFmt w:val="decimal"/>
      <w:lvlText w:val="(%1)"/>
      <w:lvlJc w:val="left"/>
      <w:pPr>
        <w:ind w:left="425" w:hanging="425"/>
      </w:pPr>
      <w:rPr>
        <w:rFonts w:hint="default"/>
      </w:rPr>
    </w:lvl>
  </w:abstractNum>
  <w:abstractNum w:abstractNumId="15">
    <w:nsid w:val="EE535523"/>
    <w:multiLevelType w:val="multilevel"/>
    <w:tmpl w:val="EE535523"/>
    <w:lvl w:ilvl="0" w:tentative="0">
      <w:start w:val="1"/>
      <w:numFmt w:val="decimal"/>
      <w:lvlText w:val="%1."/>
      <w:lvlJc w:val="left"/>
      <w:pPr>
        <w:ind w:left="0" w:leftChars="0" w:firstLine="0" w:firstLineChars="0"/>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6">
    <w:nsid w:val="FDBB7F35"/>
    <w:multiLevelType w:val="singleLevel"/>
    <w:tmpl w:val="FDBB7F35"/>
    <w:lvl w:ilvl="0" w:tentative="0">
      <w:start w:val="1"/>
      <w:numFmt w:val="chineseCounting"/>
      <w:suff w:val="nothing"/>
      <w:lvlText w:val="%1、"/>
      <w:lvlJc w:val="left"/>
      <w:pPr>
        <w:ind w:left="0" w:firstLine="420"/>
      </w:pPr>
      <w:rPr>
        <w:rFonts w:hint="eastAsia"/>
      </w:rPr>
    </w:lvl>
  </w:abstractNum>
  <w:abstractNum w:abstractNumId="17">
    <w:nsid w:val="FE0C23BB"/>
    <w:multiLevelType w:val="multilevel"/>
    <w:tmpl w:val="FE0C23BB"/>
    <w:lvl w:ilvl="0" w:tentative="0">
      <w:start w:val="1"/>
      <w:numFmt w:val="decimal"/>
      <w:lvlText w:val="%1."/>
      <w:lvlJc w:val="left"/>
      <w:pPr>
        <w:ind w:left="0" w:leftChars="0" w:firstLine="0" w:firstLineChars="0"/>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8">
    <w:nsid w:val="FFB8C710"/>
    <w:multiLevelType w:val="singleLevel"/>
    <w:tmpl w:val="FFB8C710"/>
    <w:lvl w:ilvl="0" w:tentative="0">
      <w:start w:val="1"/>
      <w:numFmt w:val="decimal"/>
      <w:suff w:val="nothing"/>
      <w:lvlText w:val="%1．"/>
      <w:lvlJc w:val="left"/>
      <w:pPr>
        <w:ind w:left="0" w:firstLine="400"/>
      </w:pPr>
      <w:rPr>
        <w:rFonts w:hint="default"/>
      </w:rPr>
    </w:lvl>
  </w:abstractNum>
  <w:abstractNum w:abstractNumId="19">
    <w:nsid w:val="00E060CA"/>
    <w:multiLevelType w:val="singleLevel"/>
    <w:tmpl w:val="00E060CA"/>
    <w:lvl w:ilvl="0" w:tentative="0">
      <w:start w:val="1"/>
      <w:numFmt w:val="decimal"/>
      <w:lvlText w:val="%1."/>
      <w:lvlJc w:val="left"/>
      <w:pPr>
        <w:ind w:left="425" w:hanging="425"/>
      </w:pPr>
      <w:rPr>
        <w:rFonts w:hint="default"/>
      </w:rPr>
    </w:lvl>
  </w:abstractNum>
  <w:abstractNum w:abstractNumId="20">
    <w:nsid w:val="0323F9BD"/>
    <w:multiLevelType w:val="singleLevel"/>
    <w:tmpl w:val="0323F9BD"/>
    <w:lvl w:ilvl="0" w:tentative="0">
      <w:start w:val="1"/>
      <w:numFmt w:val="decimal"/>
      <w:lvlText w:val="(%1)"/>
      <w:lvlJc w:val="left"/>
      <w:pPr>
        <w:ind w:left="425" w:hanging="425"/>
      </w:pPr>
      <w:rPr>
        <w:rFonts w:hint="default"/>
      </w:rPr>
    </w:lvl>
  </w:abstractNum>
  <w:abstractNum w:abstractNumId="21">
    <w:nsid w:val="0611195B"/>
    <w:multiLevelType w:val="multilevel"/>
    <w:tmpl w:val="0611195B"/>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2">
    <w:nsid w:val="06488A8A"/>
    <w:multiLevelType w:val="singleLevel"/>
    <w:tmpl w:val="06488A8A"/>
    <w:lvl w:ilvl="0" w:tentative="0">
      <w:start w:val="1"/>
      <w:numFmt w:val="decimal"/>
      <w:lvlText w:val="%1."/>
      <w:lvlJc w:val="left"/>
      <w:pPr>
        <w:ind w:left="425" w:hanging="425"/>
      </w:pPr>
      <w:rPr>
        <w:rFonts w:hint="default"/>
      </w:rPr>
    </w:lvl>
  </w:abstractNum>
  <w:abstractNum w:abstractNumId="23">
    <w:nsid w:val="06965FAB"/>
    <w:multiLevelType w:val="multilevel"/>
    <w:tmpl w:val="06965FAB"/>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4">
    <w:nsid w:val="06C2A412"/>
    <w:multiLevelType w:val="multilevel"/>
    <w:tmpl w:val="06C2A412"/>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5">
    <w:nsid w:val="07916816"/>
    <w:multiLevelType w:val="singleLevel"/>
    <w:tmpl w:val="07916816"/>
    <w:lvl w:ilvl="0" w:tentative="0">
      <w:start w:val="1"/>
      <w:numFmt w:val="decimal"/>
      <w:lvlText w:val="%1."/>
      <w:lvlJc w:val="left"/>
      <w:pPr>
        <w:ind w:left="425" w:hanging="425"/>
      </w:pPr>
      <w:rPr>
        <w:rFonts w:hint="default"/>
      </w:rPr>
    </w:lvl>
  </w:abstractNum>
  <w:abstractNum w:abstractNumId="26">
    <w:nsid w:val="0A5A95EA"/>
    <w:multiLevelType w:val="singleLevel"/>
    <w:tmpl w:val="0A5A95EA"/>
    <w:lvl w:ilvl="0" w:tentative="0">
      <w:start w:val="1"/>
      <w:numFmt w:val="decimal"/>
      <w:lvlText w:val="%1."/>
      <w:lvlJc w:val="left"/>
      <w:pPr>
        <w:ind w:left="425" w:hanging="425"/>
      </w:pPr>
      <w:rPr>
        <w:rFonts w:hint="default"/>
      </w:rPr>
    </w:lvl>
  </w:abstractNum>
  <w:abstractNum w:abstractNumId="27">
    <w:nsid w:val="0C541DE3"/>
    <w:multiLevelType w:val="multilevel"/>
    <w:tmpl w:val="0C541DE3"/>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8">
    <w:nsid w:val="0ED2C3D2"/>
    <w:multiLevelType w:val="multilevel"/>
    <w:tmpl w:val="0ED2C3D2"/>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9">
    <w:nsid w:val="183B168D"/>
    <w:multiLevelType w:val="multilevel"/>
    <w:tmpl w:val="183B168D"/>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0">
    <w:nsid w:val="1BD9A1B0"/>
    <w:multiLevelType w:val="singleLevel"/>
    <w:tmpl w:val="1BD9A1B0"/>
    <w:lvl w:ilvl="0" w:tentative="0">
      <w:start w:val="1"/>
      <w:numFmt w:val="decimal"/>
      <w:lvlText w:val="(%1)"/>
      <w:lvlJc w:val="left"/>
      <w:pPr>
        <w:ind w:left="425" w:hanging="425"/>
      </w:pPr>
      <w:rPr>
        <w:rFonts w:hint="default"/>
      </w:rPr>
    </w:lvl>
  </w:abstractNum>
  <w:abstractNum w:abstractNumId="31">
    <w:nsid w:val="1F854EAE"/>
    <w:multiLevelType w:val="singleLevel"/>
    <w:tmpl w:val="1F854EAE"/>
    <w:lvl w:ilvl="0" w:tentative="0">
      <w:start w:val="1"/>
      <w:numFmt w:val="decimal"/>
      <w:lvlText w:val="%1."/>
      <w:lvlJc w:val="left"/>
      <w:pPr>
        <w:ind w:left="425" w:hanging="425"/>
      </w:pPr>
      <w:rPr>
        <w:rFonts w:hint="default"/>
      </w:rPr>
    </w:lvl>
  </w:abstractNum>
  <w:abstractNum w:abstractNumId="32">
    <w:nsid w:val="1FB24C34"/>
    <w:multiLevelType w:val="singleLevel"/>
    <w:tmpl w:val="1FB24C34"/>
    <w:lvl w:ilvl="0" w:tentative="0">
      <w:start w:val="1"/>
      <w:numFmt w:val="decimal"/>
      <w:lvlText w:val="%1."/>
      <w:lvlJc w:val="left"/>
      <w:pPr>
        <w:ind w:left="425" w:hanging="425"/>
      </w:pPr>
      <w:rPr>
        <w:rFonts w:hint="default"/>
      </w:rPr>
    </w:lvl>
  </w:abstractNum>
  <w:abstractNum w:abstractNumId="33">
    <w:nsid w:val="23002344"/>
    <w:multiLevelType w:val="multilevel"/>
    <w:tmpl w:val="23002344"/>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4">
    <w:nsid w:val="35A616C5"/>
    <w:multiLevelType w:val="singleLevel"/>
    <w:tmpl w:val="35A616C5"/>
    <w:lvl w:ilvl="0" w:tentative="0">
      <w:start w:val="1"/>
      <w:numFmt w:val="decimal"/>
      <w:lvlText w:val="%1."/>
      <w:lvlJc w:val="left"/>
      <w:pPr>
        <w:ind w:left="425" w:hanging="425"/>
      </w:pPr>
      <w:rPr>
        <w:rFonts w:hint="default"/>
      </w:rPr>
    </w:lvl>
  </w:abstractNum>
  <w:abstractNum w:abstractNumId="35">
    <w:nsid w:val="398650BC"/>
    <w:multiLevelType w:val="multilevel"/>
    <w:tmpl w:val="398650BC"/>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6">
    <w:nsid w:val="3AE695CC"/>
    <w:multiLevelType w:val="multilevel"/>
    <w:tmpl w:val="3AE695CC"/>
    <w:lvl w:ilvl="0" w:tentative="0">
      <w:start w:val="1"/>
      <w:numFmt w:val="decimal"/>
      <w:lvlText w:val="%1."/>
      <w:lvlJc w:val="left"/>
      <w:pPr>
        <w:ind w:left="0" w:leftChars="0" w:firstLine="0" w:firstLineChars="0"/>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7">
    <w:nsid w:val="3BC2CD49"/>
    <w:multiLevelType w:val="singleLevel"/>
    <w:tmpl w:val="3BC2CD49"/>
    <w:lvl w:ilvl="0" w:tentative="0">
      <w:start w:val="1"/>
      <w:numFmt w:val="decimal"/>
      <w:lvlText w:val="%1."/>
      <w:lvlJc w:val="left"/>
      <w:pPr>
        <w:ind w:left="425" w:hanging="425"/>
      </w:pPr>
      <w:rPr>
        <w:rFonts w:hint="default"/>
      </w:rPr>
    </w:lvl>
  </w:abstractNum>
  <w:abstractNum w:abstractNumId="38">
    <w:nsid w:val="3EC3C781"/>
    <w:multiLevelType w:val="singleLevel"/>
    <w:tmpl w:val="3EC3C781"/>
    <w:lvl w:ilvl="0" w:tentative="0">
      <w:start w:val="1"/>
      <w:numFmt w:val="decimal"/>
      <w:lvlText w:val="(%1)"/>
      <w:lvlJc w:val="left"/>
      <w:pPr>
        <w:ind w:left="425" w:hanging="425"/>
      </w:pPr>
      <w:rPr>
        <w:rFonts w:hint="default"/>
      </w:rPr>
    </w:lvl>
  </w:abstractNum>
  <w:abstractNum w:abstractNumId="39">
    <w:nsid w:val="410AD6A3"/>
    <w:multiLevelType w:val="multilevel"/>
    <w:tmpl w:val="410AD6A3"/>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0">
    <w:nsid w:val="41CDD67E"/>
    <w:multiLevelType w:val="singleLevel"/>
    <w:tmpl w:val="41CDD67E"/>
    <w:lvl w:ilvl="0" w:tentative="0">
      <w:start w:val="1"/>
      <w:numFmt w:val="chineseCounting"/>
      <w:suff w:val="nothing"/>
      <w:lvlText w:val="%1、"/>
      <w:lvlJc w:val="left"/>
      <w:pPr>
        <w:ind w:left="0" w:firstLine="420"/>
      </w:pPr>
      <w:rPr>
        <w:rFonts w:hint="eastAsia"/>
      </w:rPr>
    </w:lvl>
  </w:abstractNum>
  <w:abstractNum w:abstractNumId="41">
    <w:nsid w:val="4353080F"/>
    <w:multiLevelType w:val="singleLevel"/>
    <w:tmpl w:val="4353080F"/>
    <w:lvl w:ilvl="0" w:tentative="0">
      <w:start w:val="1"/>
      <w:numFmt w:val="chineseCounting"/>
      <w:suff w:val="nothing"/>
      <w:lvlText w:val="%1、"/>
      <w:lvlJc w:val="left"/>
      <w:pPr>
        <w:ind w:left="0" w:firstLine="420"/>
      </w:pPr>
      <w:rPr>
        <w:rFonts w:hint="eastAsia"/>
      </w:rPr>
    </w:lvl>
  </w:abstractNum>
  <w:abstractNum w:abstractNumId="42">
    <w:nsid w:val="4765D5F6"/>
    <w:multiLevelType w:val="singleLevel"/>
    <w:tmpl w:val="4765D5F6"/>
    <w:lvl w:ilvl="0" w:tentative="0">
      <w:start w:val="1"/>
      <w:numFmt w:val="decimal"/>
      <w:lvlText w:val="%1."/>
      <w:lvlJc w:val="left"/>
      <w:pPr>
        <w:ind w:left="425" w:hanging="425"/>
      </w:pPr>
      <w:rPr>
        <w:rFonts w:hint="default"/>
      </w:rPr>
    </w:lvl>
  </w:abstractNum>
  <w:abstractNum w:abstractNumId="43">
    <w:nsid w:val="47903580"/>
    <w:multiLevelType w:val="singleLevel"/>
    <w:tmpl w:val="47903580"/>
    <w:lvl w:ilvl="0" w:tentative="0">
      <w:start w:val="1"/>
      <w:numFmt w:val="chineseCounting"/>
      <w:suff w:val="nothing"/>
      <w:lvlText w:val="%1、"/>
      <w:lvlJc w:val="left"/>
      <w:pPr>
        <w:ind w:left="0" w:firstLine="420"/>
      </w:pPr>
      <w:rPr>
        <w:rFonts w:hint="eastAsia"/>
      </w:rPr>
    </w:lvl>
  </w:abstractNum>
  <w:abstractNum w:abstractNumId="44">
    <w:nsid w:val="4B3FCD68"/>
    <w:multiLevelType w:val="singleLevel"/>
    <w:tmpl w:val="4B3FCD68"/>
    <w:lvl w:ilvl="0" w:tentative="0">
      <w:start w:val="1"/>
      <w:numFmt w:val="decimal"/>
      <w:suff w:val="nothing"/>
      <w:lvlText w:val="（%1）"/>
      <w:lvlJc w:val="left"/>
    </w:lvl>
  </w:abstractNum>
  <w:abstractNum w:abstractNumId="45">
    <w:nsid w:val="4BF1E8DC"/>
    <w:multiLevelType w:val="singleLevel"/>
    <w:tmpl w:val="4BF1E8DC"/>
    <w:lvl w:ilvl="0" w:tentative="0">
      <w:start w:val="1"/>
      <w:numFmt w:val="chineseCounting"/>
      <w:suff w:val="nothing"/>
      <w:lvlText w:val="%1、"/>
      <w:lvlJc w:val="left"/>
      <w:pPr>
        <w:ind w:left="0" w:firstLine="420"/>
      </w:pPr>
      <w:rPr>
        <w:rFonts w:hint="eastAsia"/>
      </w:rPr>
    </w:lvl>
  </w:abstractNum>
  <w:abstractNum w:abstractNumId="46">
    <w:nsid w:val="4D643456"/>
    <w:multiLevelType w:val="singleLevel"/>
    <w:tmpl w:val="4D643456"/>
    <w:lvl w:ilvl="0" w:tentative="0">
      <w:start w:val="1"/>
      <w:numFmt w:val="decimal"/>
      <w:lvlText w:val="%1."/>
      <w:lvlJc w:val="left"/>
      <w:pPr>
        <w:ind w:left="425" w:hanging="425"/>
      </w:pPr>
      <w:rPr>
        <w:rFonts w:hint="default"/>
      </w:rPr>
    </w:lvl>
  </w:abstractNum>
  <w:abstractNum w:abstractNumId="47">
    <w:nsid w:val="4DE6490B"/>
    <w:multiLevelType w:val="singleLevel"/>
    <w:tmpl w:val="4DE6490B"/>
    <w:lvl w:ilvl="0" w:tentative="0">
      <w:start w:val="1"/>
      <w:numFmt w:val="chineseCounting"/>
      <w:suff w:val="nothing"/>
      <w:lvlText w:val="%1、"/>
      <w:lvlJc w:val="left"/>
      <w:pPr>
        <w:ind w:left="0" w:firstLine="420"/>
      </w:pPr>
      <w:rPr>
        <w:rFonts w:hint="eastAsia"/>
      </w:rPr>
    </w:lvl>
  </w:abstractNum>
  <w:abstractNum w:abstractNumId="48">
    <w:nsid w:val="4FC54D12"/>
    <w:multiLevelType w:val="singleLevel"/>
    <w:tmpl w:val="4FC54D12"/>
    <w:lvl w:ilvl="0" w:tentative="0">
      <w:start w:val="1"/>
      <w:numFmt w:val="decimal"/>
      <w:lvlText w:val="%1."/>
      <w:lvlJc w:val="left"/>
      <w:pPr>
        <w:ind w:left="425" w:hanging="425"/>
      </w:pPr>
      <w:rPr>
        <w:rFonts w:hint="default"/>
      </w:rPr>
    </w:lvl>
  </w:abstractNum>
  <w:abstractNum w:abstractNumId="49">
    <w:nsid w:val="5722630D"/>
    <w:multiLevelType w:val="singleLevel"/>
    <w:tmpl w:val="5722630D"/>
    <w:lvl w:ilvl="0" w:tentative="0">
      <w:start w:val="1"/>
      <w:numFmt w:val="chineseCounting"/>
      <w:suff w:val="nothing"/>
      <w:lvlText w:val="%1、"/>
      <w:lvlJc w:val="left"/>
      <w:pPr>
        <w:ind w:left="0" w:firstLine="420"/>
      </w:pPr>
      <w:rPr>
        <w:rFonts w:hint="eastAsia"/>
      </w:rPr>
    </w:lvl>
  </w:abstractNum>
  <w:abstractNum w:abstractNumId="50">
    <w:nsid w:val="57788490"/>
    <w:multiLevelType w:val="singleLevel"/>
    <w:tmpl w:val="57788490"/>
    <w:lvl w:ilvl="0" w:tentative="0">
      <w:start w:val="1"/>
      <w:numFmt w:val="decimal"/>
      <w:lvlText w:val="(%1)"/>
      <w:lvlJc w:val="left"/>
      <w:pPr>
        <w:ind w:left="425" w:hanging="425"/>
      </w:pPr>
      <w:rPr>
        <w:rFonts w:hint="default"/>
      </w:rPr>
    </w:lvl>
  </w:abstractNum>
  <w:abstractNum w:abstractNumId="51">
    <w:nsid w:val="59D63816"/>
    <w:multiLevelType w:val="singleLevel"/>
    <w:tmpl w:val="59D63816"/>
    <w:lvl w:ilvl="0" w:tentative="0">
      <w:start w:val="1"/>
      <w:numFmt w:val="decimal"/>
      <w:lvlText w:val="%1."/>
      <w:lvlJc w:val="left"/>
      <w:pPr>
        <w:ind w:left="425" w:hanging="425"/>
      </w:pPr>
      <w:rPr>
        <w:rFonts w:hint="default"/>
      </w:rPr>
    </w:lvl>
  </w:abstractNum>
  <w:abstractNum w:abstractNumId="52">
    <w:nsid w:val="5AB3B3CB"/>
    <w:multiLevelType w:val="singleLevel"/>
    <w:tmpl w:val="5AB3B3CB"/>
    <w:lvl w:ilvl="0" w:tentative="0">
      <w:start w:val="1"/>
      <w:numFmt w:val="decimal"/>
      <w:suff w:val="nothing"/>
      <w:lvlText w:val="%1、"/>
      <w:lvlJc w:val="left"/>
    </w:lvl>
  </w:abstractNum>
  <w:abstractNum w:abstractNumId="53">
    <w:nsid w:val="5C44E476"/>
    <w:multiLevelType w:val="multilevel"/>
    <w:tmpl w:val="5C44E476"/>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4">
    <w:nsid w:val="5E68EA9F"/>
    <w:multiLevelType w:val="singleLevel"/>
    <w:tmpl w:val="5E68EA9F"/>
    <w:lvl w:ilvl="0" w:tentative="0">
      <w:start w:val="1"/>
      <w:numFmt w:val="decimal"/>
      <w:lvlText w:val="(%1)"/>
      <w:lvlJc w:val="left"/>
      <w:pPr>
        <w:ind w:left="425" w:hanging="425"/>
      </w:pPr>
      <w:rPr>
        <w:rFonts w:hint="default"/>
      </w:rPr>
    </w:lvl>
  </w:abstractNum>
  <w:abstractNum w:abstractNumId="55">
    <w:nsid w:val="5FB75711"/>
    <w:multiLevelType w:val="singleLevel"/>
    <w:tmpl w:val="5FB75711"/>
    <w:lvl w:ilvl="0" w:tentative="0">
      <w:start w:val="1"/>
      <w:numFmt w:val="decimal"/>
      <w:lvlText w:val="(%1)"/>
      <w:lvlJc w:val="left"/>
      <w:pPr>
        <w:ind w:left="425" w:hanging="425"/>
      </w:pPr>
      <w:rPr>
        <w:rFonts w:hint="default"/>
      </w:rPr>
    </w:lvl>
  </w:abstractNum>
  <w:abstractNum w:abstractNumId="56">
    <w:nsid w:val="63B9B3CC"/>
    <w:multiLevelType w:val="singleLevel"/>
    <w:tmpl w:val="63B9B3CC"/>
    <w:lvl w:ilvl="0" w:tentative="0">
      <w:start w:val="1"/>
      <w:numFmt w:val="decimal"/>
      <w:lvlText w:val="%1."/>
      <w:lvlJc w:val="left"/>
      <w:pPr>
        <w:ind w:left="425" w:hanging="425"/>
      </w:pPr>
      <w:rPr>
        <w:rFonts w:hint="default"/>
      </w:rPr>
    </w:lvl>
  </w:abstractNum>
  <w:abstractNum w:abstractNumId="57">
    <w:nsid w:val="6525A984"/>
    <w:multiLevelType w:val="multilevel"/>
    <w:tmpl w:val="6525A984"/>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8">
    <w:nsid w:val="6B919F48"/>
    <w:multiLevelType w:val="multilevel"/>
    <w:tmpl w:val="6B919F48"/>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9">
    <w:nsid w:val="6BD19572"/>
    <w:multiLevelType w:val="singleLevel"/>
    <w:tmpl w:val="6BD19572"/>
    <w:lvl w:ilvl="0" w:tentative="0">
      <w:start w:val="1"/>
      <w:numFmt w:val="decimal"/>
      <w:lvlText w:val="%1."/>
      <w:lvlJc w:val="left"/>
      <w:pPr>
        <w:ind w:left="425" w:hanging="425"/>
      </w:pPr>
      <w:rPr>
        <w:rFonts w:hint="default"/>
      </w:rPr>
    </w:lvl>
  </w:abstractNum>
  <w:abstractNum w:abstractNumId="60">
    <w:nsid w:val="6BDF88C4"/>
    <w:multiLevelType w:val="multilevel"/>
    <w:tmpl w:val="6BDF88C4"/>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1">
    <w:nsid w:val="6D83BE74"/>
    <w:multiLevelType w:val="multilevel"/>
    <w:tmpl w:val="6D83BE74"/>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2">
    <w:nsid w:val="761DCD41"/>
    <w:multiLevelType w:val="singleLevel"/>
    <w:tmpl w:val="761DCD41"/>
    <w:lvl w:ilvl="0" w:tentative="0">
      <w:start w:val="1"/>
      <w:numFmt w:val="chineseCounting"/>
      <w:suff w:val="nothing"/>
      <w:lvlText w:val="%1、"/>
      <w:lvlJc w:val="left"/>
      <w:pPr>
        <w:ind w:left="0" w:firstLine="420"/>
      </w:pPr>
      <w:rPr>
        <w:rFonts w:hint="eastAsia"/>
      </w:rPr>
    </w:lvl>
  </w:abstractNum>
  <w:abstractNum w:abstractNumId="63">
    <w:nsid w:val="76BF7A9D"/>
    <w:multiLevelType w:val="singleLevel"/>
    <w:tmpl w:val="76BF7A9D"/>
    <w:lvl w:ilvl="0" w:tentative="0">
      <w:start w:val="1"/>
      <w:numFmt w:val="decimal"/>
      <w:lvlText w:val="(%1)"/>
      <w:lvlJc w:val="left"/>
      <w:pPr>
        <w:ind w:left="425" w:hanging="425"/>
      </w:pPr>
      <w:rPr>
        <w:rFonts w:hint="default"/>
      </w:rPr>
    </w:lvl>
  </w:abstractNum>
  <w:abstractNum w:abstractNumId="64">
    <w:nsid w:val="7C659286"/>
    <w:multiLevelType w:val="singleLevel"/>
    <w:tmpl w:val="7C659286"/>
    <w:lvl w:ilvl="0" w:tentative="0">
      <w:start w:val="1"/>
      <w:numFmt w:val="decimal"/>
      <w:lvlText w:val="(%1)"/>
      <w:lvlJc w:val="left"/>
      <w:pPr>
        <w:ind w:left="425" w:hanging="425"/>
      </w:pPr>
      <w:rPr>
        <w:rFonts w:hint="default"/>
      </w:rPr>
    </w:lvl>
  </w:abstractNum>
  <w:abstractNum w:abstractNumId="65">
    <w:nsid w:val="7F31C85F"/>
    <w:multiLevelType w:val="multilevel"/>
    <w:tmpl w:val="7F31C85F"/>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43"/>
  </w:num>
  <w:num w:numId="2">
    <w:abstractNumId w:val="41"/>
  </w:num>
  <w:num w:numId="3">
    <w:abstractNumId w:val="17"/>
  </w:num>
  <w:num w:numId="4">
    <w:abstractNumId w:val="18"/>
  </w:num>
  <w:num w:numId="5">
    <w:abstractNumId w:val="42"/>
  </w:num>
  <w:num w:numId="6">
    <w:abstractNumId w:val="32"/>
  </w:num>
  <w:num w:numId="7">
    <w:abstractNumId w:val="26"/>
  </w:num>
  <w:num w:numId="8">
    <w:abstractNumId w:val="3"/>
  </w:num>
  <w:num w:numId="9">
    <w:abstractNumId w:val="37"/>
  </w:num>
  <w:num w:numId="10">
    <w:abstractNumId w:val="8"/>
  </w:num>
  <w:num w:numId="11">
    <w:abstractNumId w:val="7"/>
  </w:num>
  <w:num w:numId="12">
    <w:abstractNumId w:val="44"/>
  </w:num>
  <w:num w:numId="13">
    <w:abstractNumId w:val="47"/>
  </w:num>
  <w:num w:numId="14">
    <w:abstractNumId w:val="61"/>
  </w:num>
  <w:num w:numId="15">
    <w:abstractNumId w:val="5"/>
  </w:num>
  <w:num w:numId="16">
    <w:abstractNumId w:val="39"/>
  </w:num>
  <w:num w:numId="17">
    <w:abstractNumId w:val="33"/>
  </w:num>
  <w:num w:numId="18">
    <w:abstractNumId w:val="52"/>
  </w:num>
  <w:num w:numId="19">
    <w:abstractNumId w:val="31"/>
  </w:num>
  <w:num w:numId="20">
    <w:abstractNumId w:val="54"/>
  </w:num>
  <w:num w:numId="21">
    <w:abstractNumId w:val="56"/>
  </w:num>
  <w:num w:numId="22">
    <w:abstractNumId w:val="2"/>
  </w:num>
  <w:num w:numId="23">
    <w:abstractNumId w:val="48"/>
  </w:num>
  <w:num w:numId="24">
    <w:abstractNumId w:val="63"/>
  </w:num>
  <w:num w:numId="25">
    <w:abstractNumId w:val="51"/>
  </w:num>
  <w:num w:numId="26">
    <w:abstractNumId w:val="14"/>
  </w:num>
  <w:num w:numId="27">
    <w:abstractNumId w:val="16"/>
  </w:num>
  <w:num w:numId="28">
    <w:abstractNumId w:val="13"/>
  </w:num>
  <w:num w:numId="29">
    <w:abstractNumId w:val="23"/>
  </w:num>
  <w:num w:numId="30">
    <w:abstractNumId w:val="27"/>
  </w:num>
  <w:num w:numId="31">
    <w:abstractNumId w:val="4"/>
  </w:num>
  <w:num w:numId="32">
    <w:abstractNumId w:val="64"/>
  </w:num>
  <w:num w:numId="33">
    <w:abstractNumId w:val="22"/>
  </w:num>
  <w:num w:numId="34">
    <w:abstractNumId w:val="11"/>
  </w:num>
  <w:num w:numId="35">
    <w:abstractNumId w:val="59"/>
  </w:num>
  <w:num w:numId="36">
    <w:abstractNumId w:val="30"/>
  </w:num>
  <w:num w:numId="37">
    <w:abstractNumId w:val="19"/>
  </w:num>
  <w:num w:numId="38">
    <w:abstractNumId w:val="38"/>
  </w:num>
  <w:num w:numId="39">
    <w:abstractNumId w:val="34"/>
  </w:num>
  <w:num w:numId="40">
    <w:abstractNumId w:val="50"/>
  </w:num>
  <w:num w:numId="41">
    <w:abstractNumId w:val="40"/>
  </w:num>
  <w:num w:numId="42">
    <w:abstractNumId w:val="60"/>
  </w:num>
  <w:num w:numId="43">
    <w:abstractNumId w:val="29"/>
  </w:num>
  <w:num w:numId="44">
    <w:abstractNumId w:val="58"/>
  </w:num>
  <w:num w:numId="45">
    <w:abstractNumId w:val="46"/>
  </w:num>
  <w:num w:numId="46">
    <w:abstractNumId w:val="55"/>
  </w:num>
  <w:num w:numId="47">
    <w:abstractNumId w:val="10"/>
  </w:num>
  <w:num w:numId="48">
    <w:abstractNumId w:val="9"/>
  </w:num>
  <w:num w:numId="49">
    <w:abstractNumId w:val="25"/>
  </w:num>
  <w:num w:numId="50">
    <w:abstractNumId w:val="20"/>
  </w:num>
  <w:num w:numId="51">
    <w:abstractNumId w:val="12"/>
  </w:num>
  <w:num w:numId="52">
    <w:abstractNumId w:val="35"/>
  </w:num>
  <w:num w:numId="53">
    <w:abstractNumId w:val="21"/>
  </w:num>
  <w:num w:numId="54">
    <w:abstractNumId w:val="57"/>
  </w:num>
  <w:num w:numId="55">
    <w:abstractNumId w:val="45"/>
  </w:num>
  <w:num w:numId="56">
    <w:abstractNumId w:val="24"/>
  </w:num>
  <w:num w:numId="57">
    <w:abstractNumId w:val="1"/>
  </w:num>
  <w:num w:numId="58">
    <w:abstractNumId w:val="0"/>
  </w:num>
  <w:num w:numId="59">
    <w:abstractNumId w:val="15"/>
  </w:num>
  <w:num w:numId="60">
    <w:abstractNumId w:val="36"/>
  </w:num>
  <w:num w:numId="61">
    <w:abstractNumId w:val="62"/>
  </w:num>
  <w:num w:numId="62">
    <w:abstractNumId w:val="65"/>
  </w:num>
  <w:num w:numId="63">
    <w:abstractNumId w:val="6"/>
  </w:num>
  <w:num w:numId="64">
    <w:abstractNumId w:val="28"/>
  </w:num>
  <w:num w:numId="65">
    <w:abstractNumId w:val="53"/>
  </w:num>
  <w:num w:numId="66">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C3"/>
    <w:rsid w:val="00002560"/>
    <w:rsid w:val="0002071C"/>
    <w:rsid w:val="00023088"/>
    <w:rsid w:val="0002403E"/>
    <w:rsid w:val="0003628C"/>
    <w:rsid w:val="00041D76"/>
    <w:rsid w:val="000434CB"/>
    <w:rsid w:val="000461E6"/>
    <w:rsid w:val="000466C4"/>
    <w:rsid w:val="00062993"/>
    <w:rsid w:val="00074EFD"/>
    <w:rsid w:val="000821F2"/>
    <w:rsid w:val="000B208D"/>
    <w:rsid w:val="000C0ABF"/>
    <w:rsid w:val="000F1579"/>
    <w:rsid w:val="000F6546"/>
    <w:rsid w:val="00106BB5"/>
    <w:rsid w:val="00113688"/>
    <w:rsid w:val="00114EA5"/>
    <w:rsid w:val="00127454"/>
    <w:rsid w:val="001312EF"/>
    <w:rsid w:val="00134E81"/>
    <w:rsid w:val="00150AAC"/>
    <w:rsid w:val="00156DC4"/>
    <w:rsid w:val="001820BB"/>
    <w:rsid w:val="00194684"/>
    <w:rsid w:val="001B0C26"/>
    <w:rsid w:val="001B6384"/>
    <w:rsid w:val="001C5441"/>
    <w:rsid w:val="002122D1"/>
    <w:rsid w:val="00214B9A"/>
    <w:rsid w:val="00222E58"/>
    <w:rsid w:val="00225638"/>
    <w:rsid w:val="00246B2B"/>
    <w:rsid w:val="0024758E"/>
    <w:rsid w:val="00254683"/>
    <w:rsid w:val="002577B0"/>
    <w:rsid w:val="002709EC"/>
    <w:rsid w:val="00283B08"/>
    <w:rsid w:val="00291D0E"/>
    <w:rsid w:val="00292F31"/>
    <w:rsid w:val="002947DD"/>
    <w:rsid w:val="002952B2"/>
    <w:rsid w:val="00295413"/>
    <w:rsid w:val="0029555C"/>
    <w:rsid w:val="002A2D06"/>
    <w:rsid w:val="002A50FC"/>
    <w:rsid w:val="002D6131"/>
    <w:rsid w:val="002D6D1D"/>
    <w:rsid w:val="002F3E7A"/>
    <w:rsid w:val="002F6A92"/>
    <w:rsid w:val="00302CA2"/>
    <w:rsid w:val="00312C3A"/>
    <w:rsid w:val="00315FF1"/>
    <w:rsid w:val="0032586C"/>
    <w:rsid w:val="0033149B"/>
    <w:rsid w:val="00333D4E"/>
    <w:rsid w:val="0033618A"/>
    <w:rsid w:val="00344943"/>
    <w:rsid w:val="00344FC3"/>
    <w:rsid w:val="003475D5"/>
    <w:rsid w:val="00353C52"/>
    <w:rsid w:val="00356D97"/>
    <w:rsid w:val="00360859"/>
    <w:rsid w:val="00362D08"/>
    <w:rsid w:val="00373B29"/>
    <w:rsid w:val="00377F8E"/>
    <w:rsid w:val="00387B66"/>
    <w:rsid w:val="003A1DB6"/>
    <w:rsid w:val="003B5238"/>
    <w:rsid w:val="003B70CE"/>
    <w:rsid w:val="003D5B9F"/>
    <w:rsid w:val="003D5BFF"/>
    <w:rsid w:val="003E0A5D"/>
    <w:rsid w:val="003E4E5D"/>
    <w:rsid w:val="003F1126"/>
    <w:rsid w:val="00414173"/>
    <w:rsid w:val="00420238"/>
    <w:rsid w:val="00421E9D"/>
    <w:rsid w:val="0043050C"/>
    <w:rsid w:val="004310CA"/>
    <w:rsid w:val="0043475D"/>
    <w:rsid w:val="00445623"/>
    <w:rsid w:val="004466FB"/>
    <w:rsid w:val="00450A16"/>
    <w:rsid w:val="00452BFD"/>
    <w:rsid w:val="004600E2"/>
    <w:rsid w:val="00467764"/>
    <w:rsid w:val="00495572"/>
    <w:rsid w:val="004C1A0C"/>
    <w:rsid w:val="004E724E"/>
    <w:rsid w:val="004F5239"/>
    <w:rsid w:val="004F7EB9"/>
    <w:rsid w:val="0050401F"/>
    <w:rsid w:val="00504B4F"/>
    <w:rsid w:val="00505FE9"/>
    <w:rsid w:val="0051458B"/>
    <w:rsid w:val="005326FE"/>
    <w:rsid w:val="0053448E"/>
    <w:rsid w:val="00536437"/>
    <w:rsid w:val="00541BBC"/>
    <w:rsid w:val="00552C2D"/>
    <w:rsid w:val="00556C44"/>
    <w:rsid w:val="00557E88"/>
    <w:rsid w:val="005737C7"/>
    <w:rsid w:val="00577EC9"/>
    <w:rsid w:val="005841F7"/>
    <w:rsid w:val="00593F19"/>
    <w:rsid w:val="005B6934"/>
    <w:rsid w:val="005C01F5"/>
    <w:rsid w:val="005C1E1B"/>
    <w:rsid w:val="005D22B4"/>
    <w:rsid w:val="005D28C4"/>
    <w:rsid w:val="005D71D4"/>
    <w:rsid w:val="006072AB"/>
    <w:rsid w:val="00612CBF"/>
    <w:rsid w:val="0061310B"/>
    <w:rsid w:val="00615BEA"/>
    <w:rsid w:val="00624E1D"/>
    <w:rsid w:val="0063361D"/>
    <w:rsid w:val="00642B73"/>
    <w:rsid w:val="00654E0A"/>
    <w:rsid w:val="006719FC"/>
    <w:rsid w:val="006A1E9A"/>
    <w:rsid w:val="006B0E48"/>
    <w:rsid w:val="006B6B26"/>
    <w:rsid w:val="006B7EAF"/>
    <w:rsid w:val="006D599C"/>
    <w:rsid w:val="006E0A36"/>
    <w:rsid w:val="006E2C8D"/>
    <w:rsid w:val="006E3FA0"/>
    <w:rsid w:val="006F39B7"/>
    <w:rsid w:val="007103BD"/>
    <w:rsid w:val="00713508"/>
    <w:rsid w:val="007228BC"/>
    <w:rsid w:val="00731A78"/>
    <w:rsid w:val="007669FD"/>
    <w:rsid w:val="00774147"/>
    <w:rsid w:val="007742CC"/>
    <w:rsid w:val="00774E47"/>
    <w:rsid w:val="007776A5"/>
    <w:rsid w:val="00780A74"/>
    <w:rsid w:val="0078123A"/>
    <w:rsid w:val="00790859"/>
    <w:rsid w:val="00791828"/>
    <w:rsid w:val="0079442F"/>
    <w:rsid w:val="007A237D"/>
    <w:rsid w:val="007D03E5"/>
    <w:rsid w:val="007D7C67"/>
    <w:rsid w:val="007F36C2"/>
    <w:rsid w:val="00802F58"/>
    <w:rsid w:val="00825369"/>
    <w:rsid w:val="00862B71"/>
    <w:rsid w:val="00867C16"/>
    <w:rsid w:val="00870041"/>
    <w:rsid w:val="008848E9"/>
    <w:rsid w:val="00886746"/>
    <w:rsid w:val="008A0357"/>
    <w:rsid w:val="008B4BEF"/>
    <w:rsid w:val="008C1ECC"/>
    <w:rsid w:val="008C2A8A"/>
    <w:rsid w:val="008C65E1"/>
    <w:rsid w:val="008E28B7"/>
    <w:rsid w:val="008E6A79"/>
    <w:rsid w:val="008F0B86"/>
    <w:rsid w:val="009032EB"/>
    <w:rsid w:val="00921462"/>
    <w:rsid w:val="00924D38"/>
    <w:rsid w:val="00927552"/>
    <w:rsid w:val="00927A3E"/>
    <w:rsid w:val="009439FA"/>
    <w:rsid w:val="00947936"/>
    <w:rsid w:val="0096771D"/>
    <w:rsid w:val="00974613"/>
    <w:rsid w:val="00975906"/>
    <w:rsid w:val="00976F60"/>
    <w:rsid w:val="00980D48"/>
    <w:rsid w:val="00983D85"/>
    <w:rsid w:val="009843CB"/>
    <w:rsid w:val="00990EBC"/>
    <w:rsid w:val="009A0886"/>
    <w:rsid w:val="009A23DD"/>
    <w:rsid w:val="009A2761"/>
    <w:rsid w:val="009A4D92"/>
    <w:rsid w:val="009A7DE2"/>
    <w:rsid w:val="009D6749"/>
    <w:rsid w:val="009E6446"/>
    <w:rsid w:val="009F0063"/>
    <w:rsid w:val="009F4C36"/>
    <w:rsid w:val="00A04FE0"/>
    <w:rsid w:val="00A076ED"/>
    <w:rsid w:val="00A16A8F"/>
    <w:rsid w:val="00A2597C"/>
    <w:rsid w:val="00A273DC"/>
    <w:rsid w:val="00A91DF6"/>
    <w:rsid w:val="00AA352B"/>
    <w:rsid w:val="00AC1335"/>
    <w:rsid w:val="00AC25FD"/>
    <w:rsid w:val="00AC5F89"/>
    <w:rsid w:val="00AC6232"/>
    <w:rsid w:val="00AD1A19"/>
    <w:rsid w:val="00AD5332"/>
    <w:rsid w:val="00AD5B70"/>
    <w:rsid w:val="00AD7586"/>
    <w:rsid w:val="00AE4A8D"/>
    <w:rsid w:val="00AE692A"/>
    <w:rsid w:val="00AF6474"/>
    <w:rsid w:val="00B00CF9"/>
    <w:rsid w:val="00B10050"/>
    <w:rsid w:val="00B262ED"/>
    <w:rsid w:val="00B42062"/>
    <w:rsid w:val="00B4771C"/>
    <w:rsid w:val="00B67CFD"/>
    <w:rsid w:val="00B87013"/>
    <w:rsid w:val="00BA3C1B"/>
    <w:rsid w:val="00BA4D6D"/>
    <w:rsid w:val="00BA70C0"/>
    <w:rsid w:val="00BB0A36"/>
    <w:rsid w:val="00BB467C"/>
    <w:rsid w:val="00BC3E97"/>
    <w:rsid w:val="00BD1DA0"/>
    <w:rsid w:val="00BE6155"/>
    <w:rsid w:val="00BF1D4A"/>
    <w:rsid w:val="00BF3535"/>
    <w:rsid w:val="00BF6E03"/>
    <w:rsid w:val="00C232F6"/>
    <w:rsid w:val="00C2468D"/>
    <w:rsid w:val="00C32609"/>
    <w:rsid w:val="00C33098"/>
    <w:rsid w:val="00C36847"/>
    <w:rsid w:val="00C411B7"/>
    <w:rsid w:val="00C439C6"/>
    <w:rsid w:val="00C652CD"/>
    <w:rsid w:val="00C72DC4"/>
    <w:rsid w:val="00CB5B5C"/>
    <w:rsid w:val="00CD75FD"/>
    <w:rsid w:val="00CE0379"/>
    <w:rsid w:val="00CE513E"/>
    <w:rsid w:val="00D00537"/>
    <w:rsid w:val="00D05C1D"/>
    <w:rsid w:val="00D06D1F"/>
    <w:rsid w:val="00D12B4A"/>
    <w:rsid w:val="00D165B1"/>
    <w:rsid w:val="00D336B7"/>
    <w:rsid w:val="00D3447D"/>
    <w:rsid w:val="00D4316A"/>
    <w:rsid w:val="00D51AFC"/>
    <w:rsid w:val="00D62458"/>
    <w:rsid w:val="00D62DEE"/>
    <w:rsid w:val="00D706DA"/>
    <w:rsid w:val="00D805FC"/>
    <w:rsid w:val="00D84881"/>
    <w:rsid w:val="00D87426"/>
    <w:rsid w:val="00D97201"/>
    <w:rsid w:val="00DA2BC4"/>
    <w:rsid w:val="00DA4A8E"/>
    <w:rsid w:val="00DC3779"/>
    <w:rsid w:val="00DC7786"/>
    <w:rsid w:val="00DD3B88"/>
    <w:rsid w:val="00DD5D47"/>
    <w:rsid w:val="00DD73F8"/>
    <w:rsid w:val="00DE28F6"/>
    <w:rsid w:val="00DE5466"/>
    <w:rsid w:val="00DE7892"/>
    <w:rsid w:val="00DF2126"/>
    <w:rsid w:val="00E0085A"/>
    <w:rsid w:val="00E03235"/>
    <w:rsid w:val="00E03F85"/>
    <w:rsid w:val="00E04BC8"/>
    <w:rsid w:val="00E06D6A"/>
    <w:rsid w:val="00E076B0"/>
    <w:rsid w:val="00E11371"/>
    <w:rsid w:val="00E33C2D"/>
    <w:rsid w:val="00E33DFF"/>
    <w:rsid w:val="00E42D56"/>
    <w:rsid w:val="00E46801"/>
    <w:rsid w:val="00E613D1"/>
    <w:rsid w:val="00E62744"/>
    <w:rsid w:val="00E62F3C"/>
    <w:rsid w:val="00E654CF"/>
    <w:rsid w:val="00E754BB"/>
    <w:rsid w:val="00E945D5"/>
    <w:rsid w:val="00E94A5E"/>
    <w:rsid w:val="00E94D27"/>
    <w:rsid w:val="00E97B29"/>
    <w:rsid w:val="00EA120D"/>
    <w:rsid w:val="00EA4CE1"/>
    <w:rsid w:val="00EA694B"/>
    <w:rsid w:val="00EB26F8"/>
    <w:rsid w:val="00EB61FB"/>
    <w:rsid w:val="00EC3D16"/>
    <w:rsid w:val="00EC66C4"/>
    <w:rsid w:val="00EE1CDC"/>
    <w:rsid w:val="00EE21A3"/>
    <w:rsid w:val="00EF0AA1"/>
    <w:rsid w:val="00EF3891"/>
    <w:rsid w:val="00F016A7"/>
    <w:rsid w:val="00F14111"/>
    <w:rsid w:val="00F561D6"/>
    <w:rsid w:val="00F57516"/>
    <w:rsid w:val="00F7186C"/>
    <w:rsid w:val="00F73CF5"/>
    <w:rsid w:val="00F82036"/>
    <w:rsid w:val="00F96214"/>
    <w:rsid w:val="00FB1E90"/>
    <w:rsid w:val="00FB420A"/>
    <w:rsid w:val="00FC006D"/>
    <w:rsid w:val="00FC3283"/>
    <w:rsid w:val="00FD3D3E"/>
    <w:rsid w:val="023608C1"/>
    <w:rsid w:val="028B4247"/>
    <w:rsid w:val="030C2D08"/>
    <w:rsid w:val="0360215B"/>
    <w:rsid w:val="0374768E"/>
    <w:rsid w:val="037F3087"/>
    <w:rsid w:val="03AC18DA"/>
    <w:rsid w:val="03AC4129"/>
    <w:rsid w:val="03E97FFA"/>
    <w:rsid w:val="040749C2"/>
    <w:rsid w:val="04EF4A5D"/>
    <w:rsid w:val="05C529DC"/>
    <w:rsid w:val="06201CAA"/>
    <w:rsid w:val="06323839"/>
    <w:rsid w:val="06910FE0"/>
    <w:rsid w:val="069E18B2"/>
    <w:rsid w:val="06AD21A1"/>
    <w:rsid w:val="07531F68"/>
    <w:rsid w:val="07A56B3D"/>
    <w:rsid w:val="07DE65CF"/>
    <w:rsid w:val="07E56B35"/>
    <w:rsid w:val="081429C5"/>
    <w:rsid w:val="08270065"/>
    <w:rsid w:val="088F286B"/>
    <w:rsid w:val="08EC252C"/>
    <w:rsid w:val="09524339"/>
    <w:rsid w:val="09B32E98"/>
    <w:rsid w:val="0A057B10"/>
    <w:rsid w:val="0A36712C"/>
    <w:rsid w:val="0A4F4997"/>
    <w:rsid w:val="0A5F6087"/>
    <w:rsid w:val="0A663F88"/>
    <w:rsid w:val="0A8467F7"/>
    <w:rsid w:val="0ADE1037"/>
    <w:rsid w:val="0B8D7A44"/>
    <w:rsid w:val="0BC1038F"/>
    <w:rsid w:val="0BD0512B"/>
    <w:rsid w:val="0C570CA8"/>
    <w:rsid w:val="0C5C4296"/>
    <w:rsid w:val="0C8E5F84"/>
    <w:rsid w:val="0CE725A0"/>
    <w:rsid w:val="0CF52FDF"/>
    <w:rsid w:val="0D651792"/>
    <w:rsid w:val="0D9B3EDA"/>
    <w:rsid w:val="0E493276"/>
    <w:rsid w:val="0E572FCF"/>
    <w:rsid w:val="0E6552EA"/>
    <w:rsid w:val="0F15505B"/>
    <w:rsid w:val="0F4C605B"/>
    <w:rsid w:val="0F565625"/>
    <w:rsid w:val="0FCC39DF"/>
    <w:rsid w:val="103B6822"/>
    <w:rsid w:val="105F189E"/>
    <w:rsid w:val="111C5C36"/>
    <w:rsid w:val="11976410"/>
    <w:rsid w:val="11B168DE"/>
    <w:rsid w:val="11BE5E21"/>
    <w:rsid w:val="12775F13"/>
    <w:rsid w:val="1284233B"/>
    <w:rsid w:val="12AB1005"/>
    <w:rsid w:val="12BE44EB"/>
    <w:rsid w:val="12CF4B02"/>
    <w:rsid w:val="13184287"/>
    <w:rsid w:val="131D6510"/>
    <w:rsid w:val="136E4B01"/>
    <w:rsid w:val="138403A4"/>
    <w:rsid w:val="13924C82"/>
    <w:rsid w:val="13F23C23"/>
    <w:rsid w:val="14102255"/>
    <w:rsid w:val="144857E1"/>
    <w:rsid w:val="14712457"/>
    <w:rsid w:val="149D5158"/>
    <w:rsid w:val="14CE11BA"/>
    <w:rsid w:val="150617D6"/>
    <w:rsid w:val="152302B2"/>
    <w:rsid w:val="155663E6"/>
    <w:rsid w:val="15581299"/>
    <w:rsid w:val="15652E8C"/>
    <w:rsid w:val="158D0341"/>
    <w:rsid w:val="15CE7C3C"/>
    <w:rsid w:val="16035D97"/>
    <w:rsid w:val="16A13E12"/>
    <w:rsid w:val="178A1F10"/>
    <w:rsid w:val="179E2F49"/>
    <w:rsid w:val="185C0CC6"/>
    <w:rsid w:val="18D9234B"/>
    <w:rsid w:val="19395311"/>
    <w:rsid w:val="19C40DFE"/>
    <w:rsid w:val="1A325AAD"/>
    <w:rsid w:val="1A4722AA"/>
    <w:rsid w:val="1A9568D3"/>
    <w:rsid w:val="1AA65ABF"/>
    <w:rsid w:val="1AD83237"/>
    <w:rsid w:val="1B58022C"/>
    <w:rsid w:val="1B644E81"/>
    <w:rsid w:val="1B901441"/>
    <w:rsid w:val="1B9C2705"/>
    <w:rsid w:val="1BB60812"/>
    <w:rsid w:val="1BBB29DA"/>
    <w:rsid w:val="1C182996"/>
    <w:rsid w:val="1C372409"/>
    <w:rsid w:val="1C647190"/>
    <w:rsid w:val="1CA73240"/>
    <w:rsid w:val="1D1A41CE"/>
    <w:rsid w:val="1D6C69DD"/>
    <w:rsid w:val="1D906D4F"/>
    <w:rsid w:val="1F8239FC"/>
    <w:rsid w:val="1F890663"/>
    <w:rsid w:val="1FB600BB"/>
    <w:rsid w:val="201A65C8"/>
    <w:rsid w:val="20340D37"/>
    <w:rsid w:val="20396E39"/>
    <w:rsid w:val="20C164C6"/>
    <w:rsid w:val="210B763A"/>
    <w:rsid w:val="212C6E87"/>
    <w:rsid w:val="21567049"/>
    <w:rsid w:val="21BD0A6E"/>
    <w:rsid w:val="220F53F8"/>
    <w:rsid w:val="22164D1A"/>
    <w:rsid w:val="2219641A"/>
    <w:rsid w:val="222A7904"/>
    <w:rsid w:val="224D173A"/>
    <w:rsid w:val="228B4608"/>
    <w:rsid w:val="22D4361A"/>
    <w:rsid w:val="22E221B2"/>
    <w:rsid w:val="23120E56"/>
    <w:rsid w:val="23263934"/>
    <w:rsid w:val="23856416"/>
    <w:rsid w:val="23B82277"/>
    <w:rsid w:val="23DC5C29"/>
    <w:rsid w:val="23FA3B91"/>
    <w:rsid w:val="242351B3"/>
    <w:rsid w:val="242415DB"/>
    <w:rsid w:val="24501938"/>
    <w:rsid w:val="245F3F56"/>
    <w:rsid w:val="24613A48"/>
    <w:rsid w:val="24A67061"/>
    <w:rsid w:val="24CD5895"/>
    <w:rsid w:val="25682008"/>
    <w:rsid w:val="25FB68D9"/>
    <w:rsid w:val="260546F4"/>
    <w:rsid w:val="262D1BFE"/>
    <w:rsid w:val="269D5D59"/>
    <w:rsid w:val="26A87717"/>
    <w:rsid w:val="26F838E3"/>
    <w:rsid w:val="27063544"/>
    <w:rsid w:val="272229FA"/>
    <w:rsid w:val="276542DF"/>
    <w:rsid w:val="27A10830"/>
    <w:rsid w:val="27D557D3"/>
    <w:rsid w:val="27DB3411"/>
    <w:rsid w:val="28175CDC"/>
    <w:rsid w:val="287742DF"/>
    <w:rsid w:val="28C11446"/>
    <w:rsid w:val="28E43553"/>
    <w:rsid w:val="28F86483"/>
    <w:rsid w:val="28FA7C4B"/>
    <w:rsid w:val="29AB0BF8"/>
    <w:rsid w:val="29B336ED"/>
    <w:rsid w:val="29E8199A"/>
    <w:rsid w:val="2A015F1A"/>
    <w:rsid w:val="2A4A383B"/>
    <w:rsid w:val="2A780599"/>
    <w:rsid w:val="2AF6709C"/>
    <w:rsid w:val="2B071A15"/>
    <w:rsid w:val="2B2B77C8"/>
    <w:rsid w:val="2B3907C3"/>
    <w:rsid w:val="2B3C33D7"/>
    <w:rsid w:val="2B3C5895"/>
    <w:rsid w:val="2BF42F80"/>
    <w:rsid w:val="2C0B526B"/>
    <w:rsid w:val="2C3017A5"/>
    <w:rsid w:val="2C617A05"/>
    <w:rsid w:val="2C6C7A60"/>
    <w:rsid w:val="2C8F3051"/>
    <w:rsid w:val="2CA21216"/>
    <w:rsid w:val="2D3D2AA6"/>
    <w:rsid w:val="2D527207"/>
    <w:rsid w:val="2D862159"/>
    <w:rsid w:val="2D900D24"/>
    <w:rsid w:val="2DF12ACA"/>
    <w:rsid w:val="2E004A33"/>
    <w:rsid w:val="2E584F60"/>
    <w:rsid w:val="2E6646E1"/>
    <w:rsid w:val="2EA919AC"/>
    <w:rsid w:val="2F705520"/>
    <w:rsid w:val="2FA746F2"/>
    <w:rsid w:val="2FDE61DB"/>
    <w:rsid w:val="3004191B"/>
    <w:rsid w:val="300A7FC1"/>
    <w:rsid w:val="304065D5"/>
    <w:rsid w:val="305C0053"/>
    <w:rsid w:val="30B17A37"/>
    <w:rsid w:val="30C15815"/>
    <w:rsid w:val="3119008D"/>
    <w:rsid w:val="314B573D"/>
    <w:rsid w:val="31587877"/>
    <w:rsid w:val="317F4943"/>
    <w:rsid w:val="3199287D"/>
    <w:rsid w:val="31B33DE2"/>
    <w:rsid w:val="31FB4155"/>
    <w:rsid w:val="322010F1"/>
    <w:rsid w:val="32404A6A"/>
    <w:rsid w:val="329E6EC8"/>
    <w:rsid w:val="32A03B8D"/>
    <w:rsid w:val="32C411D9"/>
    <w:rsid w:val="335462B4"/>
    <w:rsid w:val="33DF0BF0"/>
    <w:rsid w:val="33EB6E7B"/>
    <w:rsid w:val="33F832E3"/>
    <w:rsid w:val="342F392E"/>
    <w:rsid w:val="343843DE"/>
    <w:rsid w:val="3442753D"/>
    <w:rsid w:val="344647A6"/>
    <w:rsid w:val="3471230B"/>
    <w:rsid w:val="34AB74B2"/>
    <w:rsid w:val="34C6027F"/>
    <w:rsid w:val="34CF75C3"/>
    <w:rsid w:val="352D6AB9"/>
    <w:rsid w:val="35322EBD"/>
    <w:rsid w:val="35D8623C"/>
    <w:rsid w:val="36124A99"/>
    <w:rsid w:val="36244840"/>
    <w:rsid w:val="364B1950"/>
    <w:rsid w:val="36A44DC2"/>
    <w:rsid w:val="36B360CD"/>
    <w:rsid w:val="36B57631"/>
    <w:rsid w:val="36C4712B"/>
    <w:rsid w:val="36FB1809"/>
    <w:rsid w:val="37323EEC"/>
    <w:rsid w:val="375C64B9"/>
    <w:rsid w:val="37743FC9"/>
    <w:rsid w:val="378C57EC"/>
    <w:rsid w:val="37913433"/>
    <w:rsid w:val="37BA5D0C"/>
    <w:rsid w:val="37E74479"/>
    <w:rsid w:val="384B52CA"/>
    <w:rsid w:val="384D38A2"/>
    <w:rsid w:val="38542CEF"/>
    <w:rsid w:val="387800B1"/>
    <w:rsid w:val="38CE16A9"/>
    <w:rsid w:val="39092552"/>
    <w:rsid w:val="39167711"/>
    <w:rsid w:val="393F1D70"/>
    <w:rsid w:val="398A69E1"/>
    <w:rsid w:val="39B26934"/>
    <w:rsid w:val="39E657C4"/>
    <w:rsid w:val="39ED1527"/>
    <w:rsid w:val="3A22713C"/>
    <w:rsid w:val="3A27213C"/>
    <w:rsid w:val="3A2A57C8"/>
    <w:rsid w:val="3ACC6B24"/>
    <w:rsid w:val="3AE326C8"/>
    <w:rsid w:val="3AEC7175"/>
    <w:rsid w:val="3B063F7B"/>
    <w:rsid w:val="3B304D70"/>
    <w:rsid w:val="3BEC7ED4"/>
    <w:rsid w:val="3C032E30"/>
    <w:rsid w:val="3C2057C7"/>
    <w:rsid w:val="3C2251AB"/>
    <w:rsid w:val="3C4D74CB"/>
    <w:rsid w:val="3C574ABE"/>
    <w:rsid w:val="3C97631C"/>
    <w:rsid w:val="3CA54C02"/>
    <w:rsid w:val="3D17587E"/>
    <w:rsid w:val="3D1E160B"/>
    <w:rsid w:val="3EFF1D57"/>
    <w:rsid w:val="3F383264"/>
    <w:rsid w:val="3F5274EE"/>
    <w:rsid w:val="3F5E78CC"/>
    <w:rsid w:val="3FCB4B92"/>
    <w:rsid w:val="401F7FCF"/>
    <w:rsid w:val="40646B86"/>
    <w:rsid w:val="42010AE4"/>
    <w:rsid w:val="42C81183"/>
    <w:rsid w:val="43591521"/>
    <w:rsid w:val="43E34B43"/>
    <w:rsid w:val="449F5E68"/>
    <w:rsid w:val="44D86641"/>
    <w:rsid w:val="45036067"/>
    <w:rsid w:val="453005D5"/>
    <w:rsid w:val="45691C37"/>
    <w:rsid w:val="45D04FF6"/>
    <w:rsid w:val="45DF097B"/>
    <w:rsid w:val="46421CB9"/>
    <w:rsid w:val="464D2E4C"/>
    <w:rsid w:val="466B56C6"/>
    <w:rsid w:val="46896950"/>
    <w:rsid w:val="469345E7"/>
    <w:rsid w:val="476C6138"/>
    <w:rsid w:val="47B87B46"/>
    <w:rsid w:val="47EF4997"/>
    <w:rsid w:val="480217ED"/>
    <w:rsid w:val="482948FC"/>
    <w:rsid w:val="483C221D"/>
    <w:rsid w:val="485539DF"/>
    <w:rsid w:val="485A0ACD"/>
    <w:rsid w:val="487E6B2E"/>
    <w:rsid w:val="48836CB0"/>
    <w:rsid w:val="48903270"/>
    <w:rsid w:val="489543B5"/>
    <w:rsid w:val="48F47B94"/>
    <w:rsid w:val="492819A5"/>
    <w:rsid w:val="492D2A11"/>
    <w:rsid w:val="496807C0"/>
    <w:rsid w:val="49877642"/>
    <w:rsid w:val="49B0441E"/>
    <w:rsid w:val="49B97C0A"/>
    <w:rsid w:val="49F86D08"/>
    <w:rsid w:val="4A322A11"/>
    <w:rsid w:val="4B337830"/>
    <w:rsid w:val="4B9E55CA"/>
    <w:rsid w:val="4BF430CC"/>
    <w:rsid w:val="4BF938B3"/>
    <w:rsid w:val="4C157FF2"/>
    <w:rsid w:val="4CA53B1E"/>
    <w:rsid w:val="4D094573"/>
    <w:rsid w:val="4E060264"/>
    <w:rsid w:val="4E4C53A6"/>
    <w:rsid w:val="4E4E48E9"/>
    <w:rsid w:val="4E7F5DAC"/>
    <w:rsid w:val="4EA16B62"/>
    <w:rsid w:val="4EA6113C"/>
    <w:rsid w:val="4EAD14AD"/>
    <w:rsid w:val="4EB12DCC"/>
    <w:rsid w:val="4ECF300E"/>
    <w:rsid w:val="4EF84A99"/>
    <w:rsid w:val="4F08105A"/>
    <w:rsid w:val="4F216F5C"/>
    <w:rsid w:val="4F7F38D2"/>
    <w:rsid w:val="4FB00035"/>
    <w:rsid w:val="4FC3324E"/>
    <w:rsid w:val="4FE06EB3"/>
    <w:rsid w:val="50731030"/>
    <w:rsid w:val="50FB6A73"/>
    <w:rsid w:val="510377DC"/>
    <w:rsid w:val="510772B7"/>
    <w:rsid w:val="511A3141"/>
    <w:rsid w:val="512D19C3"/>
    <w:rsid w:val="515005D1"/>
    <w:rsid w:val="519028E0"/>
    <w:rsid w:val="51912C2A"/>
    <w:rsid w:val="51BF147D"/>
    <w:rsid w:val="51D004B4"/>
    <w:rsid w:val="51DD455D"/>
    <w:rsid w:val="52CE741F"/>
    <w:rsid w:val="53265B16"/>
    <w:rsid w:val="535F3A6B"/>
    <w:rsid w:val="53F36144"/>
    <w:rsid w:val="53FC0148"/>
    <w:rsid w:val="541B46E5"/>
    <w:rsid w:val="54FB7190"/>
    <w:rsid w:val="55013CB4"/>
    <w:rsid w:val="55066DDD"/>
    <w:rsid w:val="550C5549"/>
    <w:rsid w:val="55637D32"/>
    <w:rsid w:val="5566112B"/>
    <w:rsid w:val="558A70B7"/>
    <w:rsid w:val="55A77A25"/>
    <w:rsid w:val="55E97FB0"/>
    <w:rsid w:val="55ED67C0"/>
    <w:rsid w:val="561C7CE5"/>
    <w:rsid w:val="56436DFE"/>
    <w:rsid w:val="56BD2F5A"/>
    <w:rsid w:val="56C87F6A"/>
    <w:rsid w:val="56E42038"/>
    <w:rsid w:val="56F0227F"/>
    <w:rsid w:val="56F50712"/>
    <w:rsid w:val="570A2E25"/>
    <w:rsid w:val="570C46B9"/>
    <w:rsid w:val="576061B7"/>
    <w:rsid w:val="57E205B1"/>
    <w:rsid w:val="58F75D4C"/>
    <w:rsid w:val="59817B6E"/>
    <w:rsid w:val="59861372"/>
    <w:rsid w:val="59905B09"/>
    <w:rsid w:val="59B81EC4"/>
    <w:rsid w:val="59C30A55"/>
    <w:rsid w:val="5A302B93"/>
    <w:rsid w:val="5A600CA5"/>
    <w:rsid w:val="5A8F1FD6"/>
    <w:rsid w:val="5B2E6C2B"/>
    <w:rsid w:val="5C360ED4"/>
    <w:rsid w:val="5C393275"/>
    <w:rsid w:val="5C431633"/>
    <w:rsid w:val="5C9B4AAF"/>
    <w:rsid w:val="5D9C617E"/>
    <w:rsid w:val="5DEE120D"/>
    <w:rsid w:val="5E2E4833"/>
    <w:rsid w:val="5E8F0014"/>
    <w:rsid w:val="5EB04C88"/>
    <w:rsid w:val="5F9B23FA"/>
    <w:rsid w:val="607555CA"/>
    <w:rsid w:val="60840523"/>
    <w:rsid w:val="60921FD4"/>
    <w:rsid w:val="609F4741"/>
    <w:rsid w:val="60A1689B"/>
    <w:rsid w:val="60B95900"/>
    <w:rsid w:val="60BB3F47"/>
    <w:rsid w:val="61334C53"/>
    <w:rsid w:val="615C7BF0"/>
    <w:rsid w:val="617A6E74"/>
    <w:rsid w:val="618F723F"/>
    <w:rsid w:val="619071CE"/>
    <w:rsid w:val="623C166B"/>
    <w:rsid w:val="62B722E2"/>
    <w:rsid w:val="62E362E2"/>
    <w:rsid w:val="63011623"/>
    <w:rsid w:val="6351027B"/>
    <w:rsid w:val="63804C0B"/>
    <w:rsid w:val="63DB7673"/>
    <w:rsid w:val="6432791D"/>
    <w:rsid w:val="64743D09"/>
    <w:rsid w:val="64E91DB8"/>
    <w:rsid w:val="659253C4"/>
    <w:rsid w:val="65BF2FB2"/>
    <w:rsid w:val="65EE02F9"/>
    <w:rsid w:val="65F2142B"/>
    <w:rsid w:val="662F4F8F"/>
    <w:rsid w:val="66684E91"/>
    <w:rsid w:val="666C19B0"/>
    <w:rsid w:val="67B11DDB"/>
    <w:rsid w:val="67B95418"/>
    <w:rsid w:val="67F55D22"/>
    <w:rsid w:val="680E06DC"/>
    <w:rsid w:val="685E70CC"/>
    <w:rsid w:val="68A07C3A"/>
    <w:rsid w:val="68CF3D0B"/>
    <w:rsid w:val="68F5282D"/>
    <w:rsid w:val="696D48E6"/>
    <w:rsid w:val="69914E3F"/>
    <w:rsid w:val="69C27DA4"/>
    <w:rsid w:val="6ABB0A90"/>
    <w:rsid w:val="6ADB24C2"/>
    <w:rsid w:val="6B18227B"/>
    <w:rsid w:val="6C167386"/>
    <w:rsid w:val="6C23162A"/>
    <w:rsid w:val="6C821A87"/>
    <w:rsid w:val="6C993758"/>
    <w:rsid w:val="6CC7007A"/>
    <w:rsid w:val="6D44181A"/>
    <w:rsid w:val="6D4A552A"/>
    <w:rsid w:val="6D6E1512"/>
    <w:rsid w:val="6DA166A3"/>
    <w:rsid w:val="6E0B2671"/>
    <w:rsid w:val="6E6F3340"/>
    <w:rsid w:val="6F774C09"/>
    <w:rsid w:val="6F8243E0"/>
    <w:rsid w:val="7030046B"/>
    <w:rsid w:val="7076706F"/>
    <w:rsid w:val="70960474"/>
    <w:rsid w:val="709E1811"/>
    <w:rsid w:val="70D739E4"/>
    <w:rsid w:val="7160154C"/>
    <w:rsid w:val="717B0C4D"/>
    <w:rsid w:val="72AF1D4B"/>
    <w:rsid w:val="72C529B1"/>
    <w:rsid w:val="730438C8"/>
    <w:rsid w:val="734368E4"/>
    <w:rsid w:val="735C30B7"/>
    <w:rsid w:val="73610615"/>
    <w:rsid w:val="73B558E6"/>
    <w:rsid w:val="73E02669"/>
    <w:rsid w:val="73F20ADC"/>
    <w:rsid w:val="740E5E00"/>
    <w:rsid w:val="74377251"/>
    <w:rsid w:val="74585787"/>
    <w:rsid w:val="74B96A8B"/>
    <w:rsid w:val="74CE12D6"/>
    <w:rsid w:val="759E1F9A"/>
    <w:rsid w:val="761D2E8C"/>
    <w:rsid w:val="766530DC"/>
    <w:rsid w:val="76CF2632"/>
    <w:rsid w:val="76F276D0"/>
    <w:rsid w:val="77012D62"/>
    <w:rsid w:val="770C2553"/>
    <w:rsid w:val="77101A98"/>
    <w:rsid w:val="779309AB"/>
    <w:rsid w:val="77A11845"/>
    <w:rsid w:val="77B061DC"/>
    <w:rsid w:val="77B1497C"/>
    <w:rsid w:val="77D733D7"/>
    <w:rsid w:val="77E55058"/>
    <w:rsid w:val="782E48D9"/>
    <w:rsid w:val="78473B65"/>
    <w:rsid w:val="785043A4"/>
    <w:rsid w:val="78B769B0"/>
    <w:rsid w:val="797B1CD9"/>
    <w:rsid w:val="79C569FB"/>
    <w:rsid w:val="79C800A6"/>
    <w:rsid w:val="79F646C4"/>
    <w:rsid w:val="7A873830"/>
    <w:rsid w:val="7A9112C7"/>
    <w:rsid w:val="7AF26843"/>
    <w:rsid w:val="7BB74DE4"/>
    <w:rsid w:val="7C106BF3"/>
    <w:rsid w:val="7CBF6F52"/>
    <w:rsid w:val="7CE9172C"/>
    <w:rsid w:val="7D4E5F8C"/>
    <w:rsid w:val="7DE31B06"/>
    <w:rsid w:val="7DED3AB4"/>
    <w:rsid w:val="7EA65627"/>
    <w:rsid w:val="7ECE57E9"/>
    <w:rsid w:val="7FD651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List 2"/>
    <w:basedOn w:val="1"/>
    <w:qFormat/>
    <w:uiPriority w:val="0"/>
    <w:pPr>
      <w:ind w:left="100" w:leftChars="200" w:hanging="200" w:hangingChars="200"/>
    </w:pPr>
    <w:rPr>
      <w:rFonts w:ascii="Calibri" w:hAnsi="Calibri"/>
    </w:rPr>
  </w:style>
  <w:style w:type="paragraph" w:styleId="6">
    <w:name w:val="Balloon Text"/>
    <w:basedOn w:val="1"/>
    <w:link w:val="19"/>
    <w:semiHidden/>
    <w:unhideWhenUsed/>
    <w:qFormat/>
    <w:uiPriority w:val="99"/>
    <w:rPr>
      <w:sz w:val="18"/>
      <w:szCs w:val="18"/>
    </w:rPr>
  </w:style>
  <w:style w:type="paragraph" w:styleId="7">
    <w:name w:val="footer"/>
    <w:basedOn w:val="1"/>
    <w:link w:val="20"/>
    <w:semiHidden/>
    <w:unhideWhenUsed/>
    <w:qFormat/>
    <w:uiPriority w:val="99"/>
    <w:pPr>
      <w:tabs>
        <w:tab w:val="center" w:pos="4153"/>
        <w:tab w:val="right" w:pos="8306"/>
      </w:tabs>
      <w:snapToGrid w:val="0"/>
      <w:jc w:val="left"/>
    </w:pPr>
    <w:rPr>
      <w:sz w:val="18"/>
      <w:szCs w:val="18"/>
    </w:rPr>
  </w:style>
  <w:style w:type="paragraph" w:styleId="8">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4">
    <w:name w:val="FollowedHyperlink"/>
    <w:basedOn w:val="13"/>
    <w:semiHidden/>
    <w:unhideWhenUsed/>
    <w:qFormat/>
    <w:uiPriority w:val="99"/>
    <w:rPr>
      <w:color w:val="800080"/>
      <w:u w:val="single"/>
    </w:rPr>
  </w:style>
  <w:style w:type="character" w:styleId="15">
    <w:name w:val="Hyperlink"/>
    <w:basedOn w:val="13"/>
    <w:qFormat/>
    <w:uiPriority w:val="99"/>
    <w:rPr>
      <w:rFonts w:cs="Times New Roman"/>
      <w:color w:val="0000FF"/>
      <w:u w:val="single"/>
    </w:rPr>
  </w:style>
  <w:style w:type="character" w:customStyle="1" w:styleId="16">
    <w:name w:val="标题 1 Char"/>
    <w:basedOn w:val="13"/>
    <w:link w:val="2"/>
    <w:qFormat/>
    <w:uiPriority w:val="9"/>
    <w:rPr>
      <w:b/>
      <w:bCs/>
      <w:kern w:val="44"/>
      <w:sz w:val="44"/>
      <w:szCs w:val="44"/>
    </w:rPr>
  </w:style>
  <w:style w:type="character" w:customStyle="1" w:styleId="17">
    <w:name w:val="标题 2 Char"/>
    <w:basedOn w:val="13"/>
    <w:link w:val="3"/>
    <w:qFormat/>
    <w:uiPriority w:val="9"/>
    <w:rPr>
      <w:rFonts w:asciiTheme="majorHAnsi" w:hAnsiTheme="majorHAnsi" w:eastAsiaTheme="majorEastAsia" w:cstheme="majorBidi"/>
      <w:b/>
      <w:bCs/>
      <w:sz w:val="32"/>
      <w:szCs w:val="32"/>
    </w:rPr>
  </w:style>
  <w:style w:type="character" w:customStyle="1" w:styleId="18">
    <w:name w:val="标题 3 Char"/>
    <w:basedOn w:val="13"/>
    <w:link w:val="4"/>
    <w:qFormat/>
    <w:uiPriority w:val="9"/>
    <w:rPr>
      <w:b/>
      <w:bCs/>
      <w:sz w:val="32"/>
      <w:szCs w:val="32"/>
    </w:rPr>
  </w:style>
  <w:style w:type="character" w:customStyle="1" w:styleId="19">
    <w:name w:val="批注框文本 Char"/>
    <w:basedOn w:val="13"/>
    <w:link w:val="6"/>
    <w:semiHidden/>
    <w:qFormat/>
    <w:uiPriority w:val="99"/>
    <w:rPr>
      <w:sz w:val="18"/>
      <w:szCs w:val="18"/>
    </w:rPr>
  </w:style>
  <w:style w:type="character" w:customStyle="1" w:styleId="20">
    <w:name w:val="页脚 Char"/>
    <w:basedOn w:val="13"/>
    <w:link w:val="7"/>
    <w:semiHidden/>
    <w:qFormat/>
    <w:uiPriority w:val="99"/>
    <w:rPr>
      <w:sz w:val="18"/>
      <w:szCs w:val="18"/>
    </w:rPr>
  </w:style>
  <w:style w:type="character" w:customStyle="1" w:styleId="21">
    <w:name w:val="页眉 Char"/>
    <w:basedOn w:val="13"/>
    <w:link w:val="8"/>
    <w:semiHidden/>
    <w:qFormat/>
    <w:uiPriority w:val="99"/>
    <w:rPr>
      <w:sz w:val="18"/>
      <w:szCs w:val="18"/>
    </w:rPr>
  </w:style>
  <w:style w:type="paragraph" w:styleId="22">
    <w:name w:val="List Paragraph"/>
    <w:basedOn w:val="1"/>
    <w:qFormat/>
    <w:uiPriority w:val="34"/>
    <w:pPr>
      <w:ind w:firstLine="420" w:firstLineChars="200"/>
    </w:pPr>
  </w:style>
  <w:style w:type="paragraph" w:styleId="2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4">
    <w:name w:val="apple-converted-space"/>
    <w:basedOn w:val="13"/>
    <w:qFormat/>
    <w:uiPriority w:val="0"/>
  </w:style>
  <w:style w:type="paragraph" w:customStyle="1" w:styleId="25">
    <w:name w:val="Style11"/>
    <w:basedOn w:val="1"/>
    <w:qFormat/>
    <w:uiPriority w:val="0"/>
    <w:pPr>
      <w:adjustRightInd w:val="0"/>
      <w:spacing w:line="610" w:lineRule="exact"/>
      <w:jc w:val="left"/>
    </w:pPr>
    <w:rPr>
      <w:rFonts w:ascii="宋体" w:hAnsi="Calibri" w:eastAsia="宋体" w:cs="Times New Roman"/>
      <w:kern w:val="0"/>
      <w:sz w:val="24"/>
      <w:szCs w:val="24"/>
    </w:rPr>
  </w:style>
  <w:style w:type="character" w:customStyle="1" w:styleId="26">
    <w:name w:val="font01"/>
    <w:basedOn w:val="13"/>
    <w:qFormat/>
    <w:uiPriority w:val="0"/>
    <w:rPr>
      <w:rFonts w:hint="eastAsia" w:ascii="宋体" w:hAnsi="宋体" w:eastAsia="宋体" w:cs="宋体"/>
      <w:color w:val="000000"/>
      <w:sz w:val="18"/>
      <w:szCs w:val="18"/>
      <w:u w:val="none"/>
    </w:rPr>
  </w:style>
  <w:style w:type="character" w:customStyle="1" w:styleId="27">
    <w:name w:val="font61"/>
    <w:basedOn w:val="13"/>
    <w:qFormat/>
    <w:uiPriority w:val="0"/>
    <w:rPr>
      <w:rFonts w:hint="eastAsia" w:ascii="宋体" w:hAnsi="宋体" w:eastAsia="宋体" w:cs="宋体"/>
      <w:color w:val="000000"/>
      <w:sz w:val="18"/>
      <w:szCs w:val="18"/>
      <w:u w:val="none"/>
    </w:rPr>
  </w:style>
  <w:style w:type="character" w:customStyle="1" w:styleId="28">
    <w:name w:val="font11"/>
    <w:basedOn w:val="13"/>
    <w:qFormat/>
    <w:uiPriority w:val="0"/>
    <w:rPr>
      <w:rFonts w:hint="default" w:ascii="Verdana" w:hAnsi="Verdana" w:cs="Verdana"/>
      <w:color w:val="000000"/>
      <w:sz w:val="18"/>
      <w:szCs w:val="18"/>
      <w:u w:val="none"/>
    </w:rPr>
  </w:style>
  <w:style w:type="character" w:customStyle="1" w:styleId="29">
    <w:name w:val="font51"/>
    <w:basedOn w:val="13"/>
    <w:qFormat/>
    <w:uiPriority w:val="0"/>
    <w:rPr>
      <w:rFonts w:hint="default" w:ascii="Verdana" w:hAnsi="Verdana" w:cs="Verdana"/>
      <w:color w:val="000000"/>
      <w:sz w:val="18"/>
      <w:szCs w:val="18"/>
      <w:u w:val="none"/>
    </w:rPr>
  </w:style>
  <w:style w:type="character" w:customStyle="1" w:styleId="30">
    <w:name w:val="font21"/>
    <w:basedOn w:val="13"/>
    <w:qFormat/>
    <w:uiPriority w:val="0"/>
    <w:rPr>
      <w:rFonts w:hint="default" w:ascii="Times New Roman" w:hAnsi="Times New Roman" w:cs="Times New Roman"/>
      <w:color w:val="000000"/>
      <w:sz w:val="24"/>
      <w:szCs w:val="24"/>
      <w:u w:val="none"/>
    </w:rPr>
  </w:style>
  <w:style w:type="character" w:customStyle="1" w:styleId="31">
    <w:name w:val="font91"/>
    <w:basedOn w:val="13"/>
    <w:qFormat/>
    <w:uiPriority w:val="0"/>
    <w:rPr>
      <w:rFonts w:hint="default" w:ascii="Times New Roman" w:hAnsi="Times New Roman" w:cs="Times New Roman"/>
      <w:color w:val="000000"/>
      <w:sz w:val="18"/>
      <w:szCs w:val="18"/>
      <w:u w:val="none"/>
    </w:rPr>
  </w:style>
  <w:style w:type="character" w:customStyle="1" w:styleId="32">
    <w:name w:val="font71"/>
    <w:basedOn w:val="13"/>
    <w:qFormat/>
    <w:uiPriority w:val="0"/>
    <w:rPr>
      <w:rFonts w:hint="eastAsia" w:ascii="宋体" w:hAnsi="宋体" w:eastAsia="宋体" w:cs="宋体"/>
      <w:color w:val="000000"/>
      <w:sz w:val="18"/>
      <w:szCs w:val="18"/>
      <w:u w:val="none"/>
    </w:rPr>
  </w:style>
  <w:style w:type="character" w:customStyle="1" w:styleId="33">
    <w:name w:val="font31"/>
    <w:basedOn w:val="13"/>
    <w:qFormat/>
    <w:uiPriority w:val="0"/>
    <w:rPr>
      <w:rFonts w:ascii="方正书宋简体" w:hAnsi="方正书宋简体" w:eastAsia="方正书宋简体" w:cs="方正书宋简体"/>
      <w:color w:val="000000"/>
      <w:sz w:val="18"/>
      <w:szCs w:val="18"/>
      <w:u w:val="none"/>
    </w:rPr>
  </w:style>
  <w:style w:type="character" w:customStyle="1" w:styleId="34">
    <w:name w:val="font41"/>
    <w:basedOn w:val="13"/>
    <w:qFormat/>
    <w:uiPriority w:val="0"/>
    <w:rPr>
      <w:rFonts w:hint="eastAsia" w:ascii="宋体" w:hAnsi="宋体" w:eastAsia="宋体" w:cs="宋体"/>
      <w:color w:val="000000"/>
      <w:sz w:val="18"/>
      <w:szCs w:val="18"/>
      <w:u w:val="none"/>
    </w:rPr>
  </w:style>
  <w:style w:type="character" w:customStyle="1" w:styleId="35">
    <w:name w:val="font81"/>
    <w:basedOn w:val="13"/>
    <w:qFormat/>
    <w:uiPriority w:val="0"/>
    <w:rPr>
      <w:rFonts w:hint="default" w:ascii="Times New Roman" w:hAnsi="Times New Roman" w:cs="Times New Roman"/>
      <w:color w:val="000000"/>
      <w:sz w:val="18"/>
      <w:szCs w:val="18"/>
      <w:u w:val="none"/>
    </w:rPr>
  </w:style>
  <w:style w:type="character" w:customStyle="1" w:styleId="36">
    <w:name w:val="font111"/>
    <w:basedOn w:val="13"/>
    <w:qFormat/>
    <w:uiPriority w:val="0"/>
    <w:rPr>
      <w:rFonts w:hint="eastAsia" w:ascii="宋体" w:hAnsi="宋体" w:eastAsia="宋体" w:cs="宋体"/>
      <w:color w:val="000000"/>
      <w:sz w:val="19"/>
      <w:szCs w:val="19"/>
      <w:u w:val="none"/>
    </w:rPr>
  </w:style>
  <w:style w:type="character" w:styleId="37">
    <w:name w:val="Placeholder Text"/>
    <w:basedOn w:val="13"/>
    <w:unhideWhenUsed/>
    <w:qFormat/>
    <w:uiPriority w:val="99"/>
    <w:rPr>
      <w:color w:val="808080"/>
    </w:rPr>
  </w:style>
  <w:style w:type="paragraph" w:customStyle="1" w:styleId="38">
    <w:name w:val="font5"/>
    <w:basedOn w:val="1"/>
    <w:qFormat/>
    <w:uiPriority w:val="0"/>
    <w:pPr>
      <w:widowControl/>
      <w:spacing w:before="100" w:beforeAutospacing="1" w:after="100" w:afterAutospacing="1"/>
      <w:jc w:val="left"/>
    </w:pPr>
    <w:rPr>
      <w:rFonts w:ascii="Times New Roman" w:hAnsi="Times New Roman" w:eastAsia="宋体" w:cs="Times New Roman"/>
      <w:color w:val="000000"/>
      <w:kern w:val="0"/>
      <w:szCs w:val="21"/>
    </w:rPr>
  </w:style>
  <w:style w:type="paragraph" w:customStyle="1" w:styleId="39">
    <w:name w:val="font6"/>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40">
    <w:name w:val="font7"/>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41">
    <w:name w:val="font8"/>
    <w:basedOn w:val="1"/>
    <w:qFormat/>
    <w:uiPriority w:val="0"/>
    <w:pPr>
      <w:widowControl/>
      <w:spacing w:before="100" w:beforeAutospacing="1" w:after="100" w:afterAutospacing="1"/>
      <w:jc w:val="left"/>
    </w:pPr>
    <w:rPr>
      <w:rFonts w:ascii="Times New Roman" w:hAnsi="Times New Roman" w:eastAsia="宋体" w:cs="Times New Roman"/>
      <w:b/>
      <w:bCs/>
      <w:color w:val="000000"/>
      <w:kern w:val="0"/>
      <w:sz w:val="20"/>
      <w:szCs w:val="20"/>
    </w:rPr>
  </w:style>
  <w:style w:type="paragraph" w:customStyle="1" w:styleId="42">
    <w:name w:val="font9"/>
    <w:basedOn w:val="1"/>
    <w:qFormat/>
    <w:uiPriority w:val="0"/>
    <w:pPr>
      <w:widowControl/>
      <w:spacing w:before="100" w:beforeAutospacing="1" w:after="100" w:afterAutospacing="1"/>
      <w:jc w:val="left"/>
    </w:pPr>
    <w:rPr>
      <w:rFonts w:ascii="宋体" w:hAnsi="宋体" w:eastAsia="宋体" w:cs="宋体"/>
      <w:color w:val="000000"/>
      <w:kern w:val="0"/>
      <w:szCs w:val="21"/>
    </w:rPr>
  </w:style>
  <w:style w:type="paragraph" w:customStyle="1" w:styleId="43">
    <w:name w:val="font10"/>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44">
    <w:name w:val="font12"/>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45">
    <w:name w:val="font13"/>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46">
    <w:name w:val="font14"/>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47">
    <w:name w:val="font15"/>
    <w:basedOn w:val="1"/>
    <w:qFormat/>
    <w:uiPriority w:val="0"/>
    <w:pPr>
      <w:widowControl/>
      <w:spacing w:before="100" w:beforeAutospacing="1" w:after="100" w:afterAutospacing="1"/>
      <w:jc w:val="left"/>
    </w:pPr>
    <w:rPr>
      <w:rFonts w:ascii="宋体" w:hAnsi="宋体" w:eastAsia="宋体" w:cs="宋体"/>
      <w:b/>
      <w:bCs/>
      <w:color w:val="000000"/>
      <w:kern w:val="0"/>
      <w:sz w:val="20"/>
      <w:szCs w:val="20"/>
    </w:rPr>
  </w:style>
  <w:style w:type="paragraph" w:customStyle="1" w:styleId="48">
    <w:name w:val="font16"/>
    <w:basedOn w:val="1"/>
    <w:qFormat/>
    <w:uiPriority w:val="0"/>
    <w:pPr>
      <w:widowControl/>
      <w:spacing w:before="100" w:beforeAutospacing="1" w:after="100" w:afterAutospacing="1"/>
      <w:jc w:val="left"/>
    </w:pPr>
    <w:rPr>
      <w:rFonts w:ascii="华文中宋" w:hAnsi="华文中宋" w:eastAsia="华文中宋" w:cs="宋体"/>
      <w:b/>
      <w:bCs/>
      <w:color w:val="000000"/>
      <w:kern w:val="0"/>
      <w:sz w:val="24"/>
      <w:szCs w:val="24"/>
    </w:rPr>
  </w:style>
  <w:style w:type="paragraph" w:customStyle="1" w:styleId="49">
    <w:name w:val="xl66"/>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5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中宋" w:hAnsi="华文中宋" w:eastAsia="华文中宋" w:cs="宋体"/>
      <w:b/>
      <w:bCs/>
      <w:kern w:val="0"/>
      <w:sz w:val="24"/>
      <w:szCs w:val="24"/>
    </w:rPr>
  </w:style>
  <w:style w:type="paragraph" w:customStyle="1" w:styleId="5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5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5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5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5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5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5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5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6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b/>
      <w:bCs/>
      <w:kern w:val="0"/>
      <w:sz w:val="20"/>
      <w:szCs w:val="20"/>
    </w:rPr>
  </w:style>
  <w:style w:type="paragraph" w:customStyle="1" w:styleId="6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6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6"/>
      <w:szCs w:val="16"/>
    </w:rPr>
  </w:style>
  <w:style w:type="paragraph" w:customStyle="1" w:styleId="6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6">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0"/>
      <w:szCs w:val="20"/>
    </w:rPr>
  </w:style>
  <w:style w:type="paragraph" w:customStyle="1" w:styleId="67">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8">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69">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71">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72">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黑体" w:hAnsi="黑体" w:eastAsia="黑体" w:cs="宋体"/>
      <w:b/>
      <w:bCs/>
      <w:kern w:val="0"/>
      <w:sz w:val="20"/>
      <w:szCs w:val="20"/>
    </w:rPr>
  </w:style>
  <w:style w:type="paragraph" w:customStyle="1" w:styleId="73">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0"/>
      <w:szCs w:val="20"/>
    </w:rPr>
  </w:style>
  <w:style w:type="paragraph" w:customStyle="1" w:styleId="7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eastAsia="宋体" w:cs="Times New Roman"/>
      <w:kern w:val="0"/>
      <w:szCs w:val="21"/>
    </w:rPr>
  </w:style>
  <w:style w:type="paragraph" w:customStyle="1" w:styleId="75">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Cs w:val="21"/>
    </w:rPr>
  </w:style>
  <w:style w:type="paragraph" w:customStyle="1" w:styleId="7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bCs/>
      <w:kern w:val="0"/>
      <w:sz w:val="20"/>
      <w:szCs w:val="20"/>
    </w:rPr>
  </w:style>
  <w:style w:type="paragraph" w:customStyle="1" w:styleId="77">
    <w:name w:val="xl9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8">
    <w:name w:val="xl9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79">
    <w:name w:val="xl9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80">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kern w:val="0"/>
      <w:sz w:val="20"/>
      <w:szCs w:val="20"/>
    </w:rPr>
  </w:style>
  <w:style w:type="paragraph" w:customStyle="1" w:styleId="81">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82">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bCs/>
      <w:kern w:val="0"/>
      <w:sz w:val="18"/>
      <w:szCs w:val="18"/>
    </w:rPr>
  </w:style>
  <w:style w:type="paragraph" w:customStyle="1" w:styleId="8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18"/>
      <w:szCs w:val="18"/>
    </w:rPr>
  </w:style>
  <w:style w:type="paragraph" w:customStyle="1" w:styleId="8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85">
    <w:name w:val="xl10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86">
    <w:name w:val="xl103"/>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87">
    <w:name w:val="xl10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88">
    <w:name w:val="xl10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89">
    <w:name w:val="xl10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90">
    <w:name w:val="xl10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9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bCs/>
      <w:kern w:val="0"/>
      <w:szCs w:val="21"/>
    </w:rPr>
  </w:style>
  <w:style w:type="paragraph" w:customStyle="1" w:styleId="9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Cs w:val="21"/>
    </w:rPr>
  </w:style>
  <w:style w:type="paragraph" w:customStyle="1" w:styleId="93">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94">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 w:val="20"/>
      <w:szCs w:val="20"/>
    </w:rPr>
  </w:style>
  <w:style w:type="paragraph" w:customStyle="1" w:styleId="9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bCs/>
      <w:color w:val="000000"/>
      <w:kern w:val="0"/>
      <w:sz w:val="20"/>
      <w:szCs w:val="20"/>
    </w:rPr>
  </w:style>
  <w:style w:type="paragraph" w:customStyle="1" w:styleId="96">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color w:val="000000"/>
      <w:kern w:val="0"/>
      <w:sz w:val="20"/>
      <w:szCs w:val="20"/>
    </w:rPr>
  </w:style>
  <w:style w:type="paragraph" w:customStyle="1" w:styleId="97">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color w:val="000000"/>
      <w:kern w:val="0"/>
      <w:sz w:val="20"/>
      <w:szCs w:val="20"/>
    </w:rPr>
  </w:style>
  <w:style w:type="paragraph" w:customStyle="1" w:styleId="98">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99">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100">
    <w:name w:val="xl11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101">
    <w:name w:val="xl118"/>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102">
    <w:name w:val="xl119"/>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103">
    <w:name w:val="xl12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0"/>
      <w:szCs w:val="20"/>
    </w:rPr>
  </w:style>
  <w:style w:type="paragraph" w:customStyle="1" w:styleId="104">
    <w:name w:val="xl1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05">
    <w:name w:val="xl12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06">
    <w:name w:val="xl1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07">
    <w:name w:val="xl1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08">
    <w:name w:val="xl12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09">
    <w:name w:val="xl1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0">
    <w:name w:val="xl1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1">
    <w:name w:val="xl12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2">
    <w:name w:val="xl12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3">
    <w:name w:val="xl1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14">
    <w:name w:val="xl1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115">
    <w:name w:val="xl13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116">
    <w:name w:val="xl1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117">
    <w:name w:val="xl134"/>
    <w:basedOn w:val="1"/>
    <w:qFormat/>
    <w:uiPriority w:val="0"/>
    <w:pPr>
      <w:widowControl/>
      <w:pBdr>
        <w:top w:val="single" w:color="auto" w:sz="4" w:space="0"/>
        <w:lef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8">
    <w:name w:val="xl135"/>
    <w:basedOn w:val="1"/>
    <w:qFormat/>
    <w:uiPriority w:val="0"/>
    <w:pPr>
      <w:widowControl/>
      <w:pBdr>
        <w:top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19">
    <w:name w:val="xl136"/>
    <w:basedOn w:val="1"/>
    <w:qFormat/>
    <w:uiPriority w:val="0"/>
    <w:pPr>
      <w:widowControl/>
      <w:pBdr>
        <w:top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20">
    <w:name w:val="xl137"/>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21">
    <w:name w:val="xl138"/>
    <w:basedOn w:val="1"/>
    <w:qFormat/>
    <w:uiPriority w:val="0"/>
    <w:pPr>
      <w:widowControl/>
      <w:pBdr>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22">
    <w:name w:val="xl139"/>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23">
    <w:name w:val="xl140"/>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24">
    <w:name w:val="xl141"/>
    <w:basedOn w:val="1"/>
    <w:qFormat/>
    <w:uiPriority w:val="0"/>
    <w:pPr>
      <w:widowControl/>
      <w:pBdr>
        <w:top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25">
    <w:name w:val="xl142"/>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26">
    <w:name w:val="xl143"/>
    <w:basedOn w:val="1"/>
    <w:qFormat/>
    <w:uiPriority w:val="0"/>
    <w:pPr>
      <w:widowControl/>
      <w:pBdr>
        <w:lef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27">
    <w:name w:val="xl144"/>
    <w:basedOn w:val="1"/>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128">
    <w:name w:val="xl145"/>
    <w:basedOn w:val="1"/>
    <w:qFormat/>
    <w:uiPriority w:val="0"/>
    <w:pPr>
      <w:widowControl/>
      <w:pBdr>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29">
    <w:name w:val="xl146"/>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0">
    <w:name w:val="xl147"/>
    <w:basedOn w:val="1"/>
    <w:qFormat/>
    <w:uiPriority w:val="0"/>
    <w:pPr>
      <w:widowControl/>
      <w:pBdr>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1">
    <w:name w:val="xl148"/>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32">
    <w:name w:val="xl149"/>
    <w:basedOn w:val="1"/>
    <w:qFormat/>
    <w:uiPriority w:val="0"/>
    <w:pPr>
      <w:widowControl/>
      <w:pBdr>
        <w:top w:val="single" w:color="auto" w:sz="4" w:space="0"/>
        <w:lef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3">
    <w:name w:val="xl150"/>
    <w:basedOn w:val="1"/>
    <w:qFormat/>
    <w:uiPriority w:val="0"/>
    <w:pPr>
      <w:widowControl/>
      <w:pBdr>
        <w:top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4">
    <w:name w:val="xl151"/>
    <w:basedOn w:val="1"/>
    <w:qFormat/>
    <w:uiPriority w:val="0"/>
    <w:pPr>
      <w:widowControl/>
      <w:pBdr>
        <w:top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5">
    <w:name w:val="xl152"/>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6">
    <w:name w:val="xl153"/>
    <w:basedOn w:val="1"/>
    <w:qFormat/>
    <w:uiPriority w:val="0"/>
    <w:pPr>
      <w:widowControl/>
      <w:pBdr>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137">
    <w:name w:val="xl154"/>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character" w:customStyle="1" w:styleId="138">
    <w:name w:val="font131"/>
    <w:basedOn w:val="13"/>
    <w:qFormat/>
    <w:uiPriority w:val="0"/>
    <w:rPr>
      <w:rFonts w:hint="eastAsia" w:ascii="华文中宋" w:hAnsi="华文中宋" w:eastAsia="华文中宋" w:cs="华文中宋"/>
      <w:b/>
      <w:color w:val="000000"/>
      <w:sz w:val="24"/>
      <w:szCs w:val="24"/>
      <w:u w:val="none"/>
    </w:rPr>
  </w:style>
  <w:style w:type="character" w:customStyle="1" w:styleId="139">
    <w:name w:val="font201"/>
    <w:basedOn w:val="13"/>
    <w:qFormat/>
    <w:uiPriority w:val="0"/>
    <w:rPr>
      <w:rFonts w:hint="default" w:ascii="Times New Roman" w:hAnsi="Times New Roman" w:cs="Times New Roman"/>
      <w:b/>
      <w:color w:val="000000"/>
      <w:sz w:val="20"/>
      <w:szCs w:val="20"/>
      <w:u w:val="none"/>
    </w:rPr>
  </w:style>
  <w:style w:type="character" w:customStyle="1" w:styleId="140">
    <w:name w:val="font141"/>
    <w:basedOn w:val="13"/>
    <w:qFormat/>
    <w:uiPriority w:val="0"/>
    <w:rPr>
      <w:rFonts w:hint="eastAsia" w:ascii="宋体" w:hAnsi="宋体" w:eastAsia="宋体" w:cs="宋体"/>
      <w:color w:val="000000"/>
      <w:sz w:val="20"/>
      <w:szCs w:val="20"/>
      <w:u w:val="none"/>
    </w:rPr>
  </w:style>
  <w:style w:type="character" w:customStyle="1" w:styleId="141">
    <w:name w:val="font101"/>
    <w:basedOn w:val="13"/>
    <w:qFormat/>
    <w:uiPriority w:val="0"/>
    <w:rPr>
      <w:rFonts w:hint="default" w:ascii="Times" w:hAnsi="Times" w:eastAsia="Times" w:cs="Times"/>
      <w:color w:val="000000"/>
      <w:sz w:val="20"/>
      <w:szCs w:val="20"/>
      <w:u w:val="none"/>
    </w:rPr>
  </w:style>
  <w:style w:type="character" w:customStyle="1" w:styleId="142">
    <w:name w:val="font151"/>
    <w:basedOn w:val="13"/>
    <w:qFormat/>
    <w:uiPriority w:val="0"/>
    <w:rPr>
      <w:rFonts w:hint="eastAsia" w:ascii="宋体" w:hAnsi="宋体" w:eastAsia="宋体" w:cs="宋体"/>
      <w:color w:val="000000"/>
      <w:sz w:val="20"/>
      <w:szCs w:val="20"/>
      <w:u w:val="none"/>
      <w:vertAlign w:val="subscript"/>
    </w:rPr>
  </w:style>
  <w:style w:type="character" w:customStyle="1" w:styleId="143">
    <w:name w:val="font191"/>
    <w:basedOn w:val="13"/>
    <w:qFormat/>
    <w:uiPriority w:val="0"/>
    <w:rPr>
      <w:rFonts w:hint="eastAsia" w:ascii="宋体" w:hAnsi="宋体" w:eastAsia="宋体" w:cs="宋体"/>
      <w:color w:val="000000"/>
      <w:sz w:val="20"/>
      <w:szCs w:val="20"/>
      <w:u w:val="none"/>
      <w:vertAlign w:val="superscript"/>
    </w:rPr>
  </w:style>
  <w:style w:type="character" w:customStyle="1" w:styleId="144">
    <w:name w:val="font171"/>
    <w:basedOn w:val="13"/>
    <w:qFormat/>
    <w:uiPriority w:val="0"/>
    <w:rPr>
      <w:rFonts w:hint="default" w:ascii="Times New Roman" w:hAnsi="Times New Roman" w:cs="Times New Roman"/>
      <w:b/>
      <w:color w:val="000000"/>
      <w:sz w:val="20"/>
      <w:szCs w:val="20"/>
      <w:u w:val="none"/>
    </w:rPr>
  </w:style>
  <w:style w:type="character" w:customStyle="1" w:styleId="145">
    <w:name w:val="font161"/>
    <w:basedOn w:val="13"/>
    <w:qFormat/>
    <w:uiPriority w:val="0"/>
    <w:rPr>
      <w:rFonts w:hint="eastAsia" w:ascii="宋体" w:hAnsi="宋体" w:eastAsia="宋体" w:cs="宋体"/>
      <w:color w:val="000000"/>
      <w:sz w:val="20"/>
      <w:szCs w:val="20"/>
      <w:u w:val="none"/>
      <w:vertAlign w:val="superscript"/>
    </w:rPr>
  </w:style>
  <w:style w:type="paragraph" w:customStyle="1" w:styleId="146">
    <w:name w:val="WPSOffice手动目录 1"/>
    <w:qFormat/>
    <w:uiPriority w:val="0"/>
    <w:pPr>
      <w:ind w:leftChars="0"/>
    </w:pPr>
    <w:rPr>
      <w:rFonts w:ascii="Times New Roman" w:hAnsi="Times New Roman" w:eastAsia="宋体" w:cs="Times New Roman"/>
      <w:sz w:val="20"/>
      <w:szCs w:val="20"/>
    </w:rPr>
  </w:style>
  <w:style w:type="character" w:customStyle="1" w:styleId="147">
    <w:name w:val="font112"/>
    <w:basedOn w:val="13"/>
    <w:qFormat/>
    <w:uiPriority w:val="0"/>
    <w:rPr>
      <w:rFonts w:hint="default" w:ascii="Times New Roman" w:hAnsi="Times New Roman" w:cs="Times New Roman"/>
      <w:color w:val="000000"/>
      <w:sz w:val="22"/>
      <w:szCs w:val="22"/>
      <w:u w:val="none"/>
    </w:rPr>
  </w:style>
  <w:style w:type="character" w:customStyle="1" w:styleId="148">
    <w:name w:val="font121"/>
    <w:basedOn w:val="13"/>
    <w:qFormat/>
    <w:uiPriority w:val="0"/>
    <w:rPr>
      <w:rFonts w:hint="default" w:ascii="Times New Roman" w:hAnsi="Times New Roman" w:cs="Times New Roman"/>
      <w:color w:val="000000"/>
      <w:sz w:val="22"/>
      <w:szCs w:val="22"/>
      <w:u w:val="none"/>
    </w:rPr>
  </w:style>
  <w:style w:type="character" w:customStyle="1" w:styleId="149">
    <w:name w:val="font122"/>
    <w:basedOn w:val="13"/>
    <w:qFormat/>
    <w:uiPriority w:val="0"/>
    <w:rPr>
      <w:rFonts w:hint="eastAsia" w:ascii="宋体" w:hAnsi="宋体" w:eastAsia="宋体" w:cs="宋体"/>
      <w:color w:val="000000"/>
      <w:sz w:val="16"/>
      <w:szCs w:val="16"/>
      <w:u w:val="none"/>
    </w:rPr>
  </w:style>
  <w:style w:type="character" w:customStyle="1" w:styleId="150">
    <w:name w:val="font181"/>
    <w:basedOn w:val="13"/>
    <w:qFormat/>
    <w:uiPriority w:val="0"/>
    <w:rPr>
      <w:rFonts w:hint="default" w:ascii="Times New Roman" w:hAnsi="Times New Roman" w:cs="Times New Roman"/>
      <w:color w:val="auto"/>
      <w:sz w:val="20"/>
      <w:szCs w:val="20"/>
      <w:u w:val="none"/>
    </w:rPr>
  </w:style>
  <w:style w:type="character" w:customStyle="1" w:styleId="151">
    <w:name w:val="font212"/>
    <w:basedOn w:val="1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1E0821-7FBE-40C8-8850-8C7ACF4A0B0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141</Pages>
  <Words>12976</Words>
  <Characters>73969</Characters>
  <Lines>616</Lines>
  <Paragraphs>173</Paragraphs>
  <TotalTime>64</TotalTime>
  <ScaleCrop>false</ScaleCrop>
  <LinksUpToDate>false</LinksUpToDate>
  <CharactersWithSpaces>86772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2018-12-24T11:12:00Z</dcterms:created>
  <dc:creator>Windows User</dc:creator>
  <cp:lastModifiedBy>John</cp:lastModifiedBy>
  <cp:lastPrinted>2020-02-25T02:34:00Z</cp:lastPrinted>
  <dcterms:modified xsi:type="dcterms:W3CDTF">2020-02-28T08:28:26Z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